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F4755B">
      <w:pPr>
        <w:ind w:left="5669"/>
        <w:jc w:val="left"/>
        <w:rPr>
          <w:rFonts w:ascii="Times New Roman" w:eastAsia="Times New Roman" w:hAnsi="Times New Roman" w:cs="Times New Roman"/>
          <w:b/>
          <w:i/>
          <w:u w:val="thick"/>
        </w:rPr>
      </w:pPr>
      <w:r>
        <w:rPr>
          <w:rFonts w:ascii="Times New Roman" w:eastAsia="Times New Roman" w:hAnsi="Times New Roman" w:cs="Times New Roman"/>
          <w:b/>
          <w:i/>
          <w:u w:val="thick"/>
        </w:rPr>
        <w:t>Projekt</w:t>
      </w:r>
    </w:p>
    <w:p w:rsidR="00A77B3E" w:rsidRDefault="0055681D">
      <w:pPr>
        <w:ind w:left="5669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u w:val="thick"/>
        </w:rPr>
        <w:t>Druk nr 332</w:t>
      </w:r>
    </w:p>
    <w:p w:rsidR="00A77B3E" w:rsidRDefault="00A77B3E">
      <w:pPr>
        <w:ind w:left="5669"/>
        <w:jc w:val="left"/>
        <w:rPr>
          <w:rFonts w:ascii="Times New Roman" w:eastAsia="Times New Roman" w:hAnsi="Times New Roman" w:cs="Times New Roman"/>
        </w:rPr>
      </w:pPr>
    </w:p>
    <w:p w:rsidR="00A77B3E" w:rsidRDefault="00A77B3E">
      <w:pPr>
        <w:ind w:left="5669"/>
        <w:jc w:val="left"/>
        <w:rPr>
          <w:rFonts w:ascii="Times New Roman" w:eastAsia="Times New Roman" w:hAnsi="Times New Roman" w:cs="Times New Roman"/>
        </w:rPr>
      </w:pPr>
    </w:p>
    <w:p w:rsidR="00A77B3E" w:rsidRDefault="00F4755B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Miasta Chorzów</w:t>
      </w:r>
    </w:p>
    <w:p w:rsidR="00A77B3E" w:rsidRDefault="00F4755B">
      <w:pPr>
        <w:spacing w:before="280" w:after="280"/>
        <w:jc w:val="center"/>
        <w:rPr>
          <w:b/>
          <w:caps/>
        </w:rPr>
      </w:pPr>
      <w:r>
        <w:t>z dnia .................... 2026 r.</w:t>
      </w:r>
    </w:p>
    <w:p w:rsidR="00A77B3E" w:rsidRDefault="00F4755B">
      <w:pPr>
        <w:keepNext/>
        <w:spacing w:after="480"/>
        <w:jc w:val="center"/>
      </w:pPr>
      <w:r>
        <w:rPr>
          <w:b/>
        </w:rPr>
        <w:t>w sprawie uchwalenia Wieloletniej Prognozy Finansowej Miasta Chorzów</w:t>
      </w:r>
    </w:p>
    <w:p w:rsidR="00A77B3E" w:rsidRDefault="00F4755B">
      <w:pPr>
        <w:keepLines/>
        <w:spacing w:before="120" w:after="120"/>
        <w:ind w:firstLine="283"/>
      </w:pPr>
      <w:r>
        <w:t>Na podstawie art. 18 ust. 2 pkt 15 ustawy z dnia 8 marca 1990 r. o samorządzie gminnym (t.j. Dz.U. z 2025 r. poz. 1153), art. 12 pkt 11 w związku z art. 92 ust.1 pkt 1 oraz ust. 2 ustawy z dnia 5 czerwca 1998 r. o samorządzie powiatowym  (t.j. Dz.U. z 2024 r. poz. 107 z późn. zm) oraz art. 226, art. 227, art. 228, art. 229, art. 230 ust. 6, art. 232 ust. 2, art. 242 ust. 1 i art. 243 ustawy z dnia 27 sierpnia 2009 r. o finansach publicznych (t.j. Dz. U. z 2025 r. poz. 1483).</w:t>
      </w:r>
    </w:p>
    <w:p w:rsidR="00A77B3E" w:rsidRDefault="00F4755B">
      <w:pPr>
        <w:spacing w:before="120" w:after="120"/>
        <w:jc w:val="center"/>
        <w:rPr>
          <w:b/>
        </w:rPr>
      </w:pPr>
      <w:r>
        <w:rPr>
          <w:b/>
        </w:rPr>
        <w:t>Rada Miasta Chorzów</w:t>
      </w:r>
      <w:r>
        <w:rPr>
          <w:b/>
        </w:rPr>
        <w:br/>
        <w:t>postanawia</w:t>
      </w:r>
    </w:p>
    <w:p w:rsidR="000B619E" w:rsidRDefault="00F4755B">
      <w:pPr>
        <w:keepNext/>
        <w:spacing w:before="280"/>
        <w:jc w:val="center"/>
      </w:pPr>
      <w:r>
        <w:rPr>
          <w:b/>
        </w:rPr>
        <w:t>§ 1. </w:t>
      </w:r>
    </w:p>
    <w:p w:rsidR="00A77B3E" w:rsidRDefault="00F4755B">
      <w:pPr>
        <w:keepLines/>
        <w:spacing w:before="120" w:after="120"/>
      </w:pPr>
      <w:r>
        <w:t>Uchwalić Wieloletnią Prognozę Finansową Miasta Chorzów na lata 2026 – 2029, zgodnie z załącznikiem Nr 1 do uchwały zawierającym objaśnienia przyjętych wartości.</w:t>
      </w:r>
    </w:p>
    <w:p w:rsidR="000B619E" w:rsidRDefault="00F4755B">
      <w:pPr>
        <w:keepNext/>
        <w:spacing w:before="280"/>
        <w:jc w:val="center"/>
      </w:pPr>
      <w:r>
        <w:rPr>
          <w:b/>
        </w:rPr>
        <w:t>§ 2. </w:t>
      </w:r>
    </w:p>
    <w:p w:rsidR="00A77B3E" w:rsidRDefault="00F4755B">
      <w:pPr>
        <w:keepLines/>
        <w:spacing w:before="120" w:after="120"/>
      </w:pPr>
      <w:r>
        <w:t>Określić wykaz przedsięwzięć realizowanych w latach 2026 – 2041, zgodnie z załącznikiem Nr 2 do uchwały.</w:t>
      </w:r>
    </w:p>
    <w:p w:rsidR="000B619E" w:rsidRDefault="00F4755B">
      <w:pPr>
        <w:keepNext/>
        <w:spacing w:before="280"/>
        <w:jc w:val="center"/>
      </w:pPr>
      <w:r>
        <w:rPr>
          <w:b/>
        </w:rPr>
        <w:t>§ 3. </w:t>
      </w:r>
    </w:p>
    <w:p w:rsidR="00A77B3E" w:rsidRDefault="00F4755B">
      <w:pPr>
        <w:keepLines/>
        <w:spacing w:before="120" w:after="120"/>
      </w:pPr>
      <w:r>
        <w:t>Określić wysokość zabezpieczonych w 2026 r. środków na świadczenia pracownicze na poziomie 459.883.243,12 zł.</w:t>
      </w:r>
    </w:p>
    <w:p w:rsidR="000B619E" w:rsidRDefault="00F4755B">
      <w:pPr>
        <w:keepNext/>
        <w:spacing w:before="280"/>
        <w:jc w:val="center"/>
      </w:pPr>
      <w:r>
        <w:rPr>
          <w:b/>
        </w:rPr>
        <w:t>§ 4. </w:t>
      </w:r>
    </w:p>
    <w:p w:rsidR="00A77B3E" w:rsidRDefault="00F4755B">
      <w:pPr>
        <w:keepLines/>
        <w:spacing w:before="120" w:after="120"/>
      </w:pPr>
      <w:r>
        <w:t>1. Upoważnić Prezydenta Miasta do zaciągania zobowiązań związanych z realizacją przedsięwzięć określonych załącznikiem Nr 2 do uchwały.</w:t>
      </w:r>
    </w:p>
    <w:p w:rsidR="00A77B3E" w:rsidRDefault="00F4755B">
      <w:pPr>
        <w:keepLines/>
        <w:spacing w:before="120" w:after="120"/>
      </w:pPr>
      <w:r>
        <w:t>2. Upoważnić Prezydenta Miasta do zaciągania zobowiązań z tytułu umów, których realizacja w roku budżetowym i w latach następnych jest niezbędna do zapewnienia ciągłości działania jednostki i z których wynikające płatności wykraczają poza rok budżetowy.</w:t>
      </w:r>
    </w:p>
    <w:p w:rsidR="00A77B3E" w:rsidRDefault="00F4755B">
      <w:pPr>
        <w:keepLines/>
        <w:spacing w:before="120" w:after="120"/>
      </w:pPr>
      <w:r>
        <w:t>3. Upoważnić Prezydenta Miasta do przekazania uprawnień w zakresie zaciągania zobowiązań, określonych w § 4 ust. 1 i 2 uchwały, kierownikom jednostek organizacyjnych.</w:t>
      </w:r>
    </w:p>
    <w:p w:rsidR="00A77B3E" w:rsidRDefault="00F4755B">
      <w:pPr>
        <w:keepLines/>
        <w:spacing w:before="120" w:after="120"/>
      </w:pPr>
      <w:r>
        <w:t>4. Upoważnić Prezydenta Miasta do dokonywania zmian limitów zobowiązań i kwot wydatków na realizację przedsięwzięcia finansowanego z udziałem środków europejskich albo środków, o których mowa w art. 5 ust. 1 pkt 3 ustawy z dnia 27 sierpnia 2009 r. o finansach publicznych, w związku ze zmianami w realizacji tego przedsięwzięcia, o ile zmiany te nie pogorszą wyniku budżetu dla każdego roku objętego wieloletnią prognozą finansową. Upoważnienie to obejmuje także upoważnienie do dokonywania zmian środków przeznaczonych na współfinansowanie realizacji przedsięwzięć, o których mowa w zdaniu pierwszym, w tym wkładu własnego beneficjenta, oraz wynikających z rozstrzygniętych konkursów, o którym mowa odpowiednio w art. 38 ust. 1 pkt 1 ustawy z dnia 11 lipca 2014 r. o zasadach realizacji programów w zakresie polityki spójności finansowanych w perspektywie finansowej 2014–2020 (t.j. Dz.U. z 2020 r. poz. 818, z późn. zm.).</w:t>
      </w:r>
    </w:p>
    <w:p w:rsidR="000B619E" w:rsidRDefault="00F4755B">
      <w:pPr>
        <w:keepNext/>
        <w:spacing w:before="280"/>
        <w:jc w:val="center"/>
      </w:pPr>
      <w:r>
        <w:rPr>
          <w:b/>
        </w:rPr>
        <w:t>§ 5. </w:t>
      </w:r>
    </w:p>
    <w:p w:rsidR="00A77B3E" w:rsidRDefault="00F4755B">
      <w:pPr>
        <w:keepLines/>
        <w:spacing w:before="120" w:after="120"/>
      </w:pPr>
      <w:r>
        <w:t>Uchwała Nr XI/114/2024 Rady Miasta Chorzów z dnia 17 grudnia 2024 r. w sprawie uchwalenia Wieloletniej Prognozy Finansowej Miasta Chorzów traci moc z dniem 31 grudnia 2025 roku.</w:t>
      </w:r>
    </w:p>
    <w:p w:rsidR="000B619E" w:rsidRDefault="00F4755B">
      <w:pPr>
        <w:keepNext/>
        <w:spacing w:before="280"/>
        <w:jc w:val="center"/>
      </w:pPr>
      <w:r>
        <w:rPr>
          <w:b/>
        </w:rPr>
        <w:lastRenderedPageBreak/>
        <w:t>§ 6. </w:t>
      </w:r>
    </w:p>
    <w:p w:rsidR="00A77B3E" w:rsidRDefault="00F4755B">
      <w:pPr>
        <w:keepLines/>
        <w:spacing w:before="120" w:after="120"/>
      </w:pPr>
      <w:r>
        <w:t>Wykonanie uchwały powierza się Prezydentowi Miasta Chorzów.</w:t>
      </w:r>
    </w:p>
    <w:p w:rsidR="000B619E" w:rsidRDefault="00F4755B">
      <w:pPr>
        <w:keepNext/>
        <w:spacing w:before="280"/>
        <w:jc w:val="center"/>
      </w:pPr>
      <w:r>
        <w:rPr>
          <w:b/>
        </w:rPr>
        <w:t>§ 7. </w:t>
      </w:r>
    </w:p>
    <w:p w:rsidR="00A77B3E" w:rsidRDefault="00F4755B">
      <w:pPr>
        <w:keepLines/>
        <w:spacing w:before="120" w:after="120"/>
      </w:pPr>
      <w:r>
        <w:t>Uchwała wchodzi w życie z dniem 1 stycznia 2026 roku.</w:t>
      </w:r>
    </w:p>
    <w:p w:rsidR="00BD43D7" w:rsidRDefault="00BD43D7">
      <w:pPr>
        <w:keepLines/>
        <w:spacing w:before="120" w:after="120"/>
      </w:pPr>
    </w:p>
    <w:p w:rsidR="00BD43D7" w:rsidRDefault="00BD43D7">
      <w:pPr>
        <w:keepLines/>
        <w:spacing w:before="120" w:after="120"/>
      </w:pPr>
    </w:p>
    <w:p w:rsidR="00BD43D7" w:rsidRDefault="00BD43D7">
      <w:pPr>
        <w:keepLines/>
        <w:spacing w:before="120" w:after="120"/>
        <w:rPr>
          <w:b/>
          <w:i/>
        </w:rPr>
      </w:pPr>
      <w:r>
        <w:rPr>
          <w:b/>
          <w:i/>
        </w:rPr>
        <w:t>RADCA PRAWNY</w:t>
      </w:r>
    </w:p>
    <w:p w:rsidR="00BD43D7" w:rsidRPr="00BD43D7" w:rsidRDefault="00BD43D7">
      <w:pPr>
        <w:keepLines/>
        <w:spacing w:before="120" w:after="120"/>
        <w:rPr>
          <w:b/>
          <w:i/>
        </w:rPr>
      </w:pPr>
      <w:r>
        <w:rPr>
          <w:b/>
          <w:i/>
        </w:rPr>
        <w:t>/-/ Piotr Partyka</w:t>
      </w:r>
    </w:p>
    <w:p w:rsidR="00BD43D7" w:rsidRDefault="00BD43D7">
      <w:pPr>
        <w:keepLines/>
        <w:spacing w:before="120" w:after="120"/>
      </w:pPr>
    </w:p>
    <w:p w:rsidR="00BD43D7" w:rsidRDefault="00BD43D7">
      <w:pPr>
        <w:keepLines/>
        <w:spacing w:before="120" w:after="120"/>
        <w:sectPr w:rsidR="00BD43D7">
          <w:footerReference w:type="default" r:id="rId7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D43D7" w:rsidRDefault="009E7BFC">
      <w:pPr>
        <w:keepLines/>
        <w:spacing w:before="280" w:after="280" w:line="360" w:lineRule="auto"/>
        <w:ind w:left="4535"/>
        <w:jc w:val="left"/>
      </w:pPr>
      <w:r>
        <w:lastRenderedPageBreak/>
        <w:fldChar w:fldCharType="begin"/>
      </w:r>
      <w:r>
        <w:fldChar w:fldCharType="end"/>
      </w:r>
      <w:r w:rsidR="00F4755B">
        <w:t>Załącznik  nr  1 do uchwały Nr ....................</w:t>
      </w:r>
      <w:r w:rsidR="00F4755B">
        <w:br/>
        <w:t xml:space="preserve">Rady Miasta Chorzów </w:t>
      </w:r>
      <w:r w:rsidR="00F4755B">
        <w:br/>
        <w:t>z dnia .................... 2026 r.</w:t>
      </w:r>
      <w:r w:rsidR="00F4755B">
        <w:br/>
      </w:r>
      <w:hyperlink r:id="rId8" w:history="1">
        <w:r w:rsidR="00F4755B">
          <w:rPr>
            <w:rStyle w:val="Hipercze"/>
            <w:color w:val="auto"/>
            <w:u w:val="none"/>
          </w:rPr>
          <w:t>Zalacznik1.pdf</w:t>
        </w:r>
      </w:hyperlink>
    </w:p>
    <w:p w:rsidR="00A77B3E" w:rsidRDefault="009E7BFC">
      <w:pPr>
        <w:keepLines/>
        <w:spacing w:before="280" w:after="280" w:line="360" w:lineRule="auto"/>
        <w:ind w:left="4535"/>
        <w:jc w:val="left"/>
      </w:pPr>
      <w:r>
        <w:fldChar w:fldCharType="begin"/>
      </w:r>
      <w:r>
        <w:fldChar w:fldCharType="end"/>
      </w:r>
      <w:r w:rsidR="00F4755B">
        <w:t>Załącznik  nr  2 do uchwały Nr ....................</w:t>
      </w:r>
      <w:r w:rsidR="00F4755B">
        <w:br/>
        <w:t xml:space="preserve">Rady Miasta Chorzów </w:t>
      </w:r>
      <w:r w:rsidR="00F4755B">
        <w:br/>
        <w:t>z dnia .................... 2026 r.</w:t>
      </w:r>
      <w:r w:rsidR="00F4755B">
        <w:br/>
      </w:r>
      <w:hyperlink r:id="rId9" w:history="1">
        <w:r w:rsidR="00F4755B">
          <w:rPr>
            <w:rStyle w:val="Hipercze"/>
            <w:color w:val="auto"/>
            <w:u w:val="none"/>
          </w:rPr>
          <w:t>Zalacznik2.pdf</w:t>
        </w:r>
      </w:hyperlink>
    </w:p>
    <w:p w:rsidR="00BD43D7" w:rsidRDefault="00BD43D7">
      <w:pPr>
        <w:keepLines/>
        <w:spacing w:before="280" w:after="280" w:line="360" w:lineRule="auto"/>
        <w:ind w:left="4535"/>
        <w:jc w:val="left"/>
        <w:sectPr w:rsidR="00BD43D7">
          <w:footerReference w:type="default" r:id="rId10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0B619E" w:rsidRDefault="000B619E">
      <w:pPr>
        <w:jc w:val="left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</w:p>
    <w:tbl>
      <w:tblPr>
        <w:tblpPr w:leftFromText="187" w:rightFromText="187" w:vertAnchor="page" w:horzAnchor="page" w:tblpX="1" w:tblpYSpec="top"/>
        <w:tblW w:w="11917" w:type="dxa"/>
        <w:tblLook w:val="04A0"/>
      </w:tblPr>
      <w:tblGrid>
        <w:gridCol w:w="1986"/>
        <w:gridCol w:w="9931"/>
      </w:tblGrid>
      <w:tr w:rsidR="000B619E">
        <w:trPr>
          <w:trHeight w:val="990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FABF8F"/>
          </w:tcPr>
          <w:p w:rsidR="000B619E" w:rsidRDefault="00F4755B">
            <w:pPr>
              <w:ind w:left="695"/>
              <w:jc w:val="left"/>
              <w:rPr>
                <w:rFonts w:ascii="Calibri" w:eastAsia="Times New Roman" w:hAnsi="Calibri" w:cs="Times New Roman"/>
                <w:color w:val="FF0000"/>
                <w:sz w:val="22"/>
                <w:szCs w:val="20"/>
              </w:rPr>
            </w:pPr>
            <w:r>
              <w:rPr>
                <w:rFonts w:ascii="Calibri" w:eastAsia="Times New Roman" w:hAnsi="Calibri" w:cs="Times New Roman"/>
                <w:color w:val="FF0000"/>
                <w:sz w:val="22"/>
                <w:szCs w:val="20"/>
              </w:rPr>
              <w:t>-</w:t>
            </w:r>
          </w:p>
        </w:tc>
        <w:tc>
          <w:tcPr>
            <w:tcW w:w="9931" w:type="dxa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vAlign w:val="bottom"/>
          </w:tcPr>
          <w:p w:rsidR="000B619E" w:rsidRDefault="000B619E">
            <w:pPr>
              <w:jc w:val="left"/>
              <w:rPr>
                <w:rFonts w:ascii="Calibri" w:eastAsia="Times New Roman" w:hAnsi="Calibri" w:cs="Times New Roman"/>
                <w:b/>
                <w:color w:val="FF0000"/>
                <w:sz w:val="56"/>
                <w:szCs w:val="20"/>
                <w:shd w:val="clear" w:color="auto" w:fill="FFFFFF"/>
                <w:lang w:eastAsia="en-US" w:bidi="ar-SA"/>
              </w:rPr>
            </w:pPr>
          </w:p>
          <w:p w:rsidR="000B619E" w:rsidRDefault="00F4755B">
            <w:pPr>
              <w:jc w:val="left"/>
              <w:rPr>
                <w:rFonts w:ascii="Calibri" w:eastAsia="Times New Roman" w:hAnsi="Calibri" w:cs="Times New Roman"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56"/>
                <w:szCs w:val="20"/>
                <w:shd w:val="clear" w:color="auto" w:fill="FFFFFF"/>
                <w:lang w:eastAsia="en-US" w:bidi="ar-SA"/>
              </w:rPr>
              <w:t>PREZYDENT MIASTA CHORZÓW</w:t>
            </w:r>
          </w:p>
          <w:p w:rsidR="000B619E" w:rsidRDefault="000B619E">
            <w:pPr>
              <w:jc w:val="left"/>
              <w:rPr>
                <w:rFonts w:ascii="Cambria" w:eastAsia="Times New Roman" w:hAnsi="Cambria" w:cs="Times New Roman"/>
                <w:b/>
                <w:color w:val="FF0000"/>
                <w:sz w:val="32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0B619E">
        <w:trPr>
          <w:trHeight w:val="188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FABF8F"/>
          </w:tcPr>
          <w:p w:rsidR="000B619E" w:rsidRDefault="000B619E">
            <w:pPr>
              <w:jc w:val="left"/>
              <w:rPr>
                <w:rFonts w:eastAsia="Times New Roman" w:cs="Times New Roman"/>
                <w:color w:val="FF0000"/>
                <w:szCs w:val="20"/>
                <w:shd w:val="clear" w:color="auto" w:fill="FFFFFF"/>
              </w:rPr>
            </w:pPr>
          </w:p>
        </w:tc>
        <w:tc>
          <w:tcPr>
            <w:tcW w:w="9931" w:type="dxa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vAlign w:val="center"/>
          </w:tcPr>
          <w:p w:rsidR="000B619E" w:rsidRDefault="000B619E">
            <w:pPr>
              <w:jc w:val="left"/>
              <w:rPr>
                <w:rFonts w:ascii="Calibri" w:eastAsia="Times New Roman" w:hAnsi="Calibri" w:cs="Times New Roman"/>
                <w:color w:val="FF0000"/>
                <w:szCs w:val="20"/>
                <w:shd w:val="clear" w:color="auto" w:fill="FFFFFF"/>
                <w:lang w:eastAsia="en-US" w:bidi="ar-SA"/>
              </w:rPr>
            </w:pPr>
          </w:p>
        </w:tc>
      </w:tr>
    </w:tbl>
    <w:p w:rsidR="000B619E" w:rsidRDefault="000B619E">
      <w:pPr>
        <w:jc w:val="center"/>
        <w:rPr>
          <w:rFonts w:eastAsia="Times New Roman" w:cs="Times New Roman"/>
          <w:color w:val="FF0000"/>
          <w:sz w:val="28"/>
          <w:szCs w:val="20"/>
          <w:shd w:val="clear" w:color="auto" w:fill="FFFFFF"/>
        </w:rPr>
      </w:pPr>
    </w:p>
    <w:p w:rsidR="000B619E" w:rsidRDefault="000B619E">
      <w:pPr>
        <w:jc w:val="center"/>
        <w:rPr>
          <w:rFonts w:eastAsia="Times New Roman" w:cs="Times New Roman"/>
          <w:color w:val="FF0000"/>
          <w:sz w:val="28"/>
          <w:szCs w:val="20"/>
          <w:shd w:val="clear" w:color="auto" w:fill="FFFFFF"/>
        </w:rPr>
      </w:pPr>
    </w:p>
    <w:p w:rsidR="000B619E" w:rsidRDefault="000B619E">
      <w:pPr>
        <w:jc w:val="center"/>
        <w:rPr>
          <w:rFonts w:eastAsia="Times New Roman" w:cs="Times New Roman"/>
          <w:color w:val="FF0000"/>
          <w:sz w:val="28"/>
          <w:szCs w:val="20"/>
          <w:shd w:val="clear" w:color="auto" w:fill="FFFFFF"/>
        </w:rPr>
      </w:pPr>
    </w:p>
    <w:p w:rsidR="000B619E" w:rsidRDefault="000B619E">
      <w:pPr>
        <w:jc w:val="center"/>
        <w:rPr>
          <w:rFonts w:eastAsia="Times New Roman" w:cs="Times New Roman"/>
          <w:color w:val="FF0000"/>
          <w:sz w:val="28"/>
          <w:szCs w:val="20"/>
          <w:shd w:val="clear" w:color="auto" w:fill="FFFFFF"/>
        </w:rPr>
      </w:pPr>
    </w:p>
    <w:p w:rsidR="000B619E" w:rsidRDefault="000B619E">
      <w:pPr>
        <w:jc w:val="center"/>
        <w:rPr>
          <w:rFonts w:eastAsia="Times New Roman" w:cs="Times New Roman"/>
          <w:color w:val="FF0000"/>
          <w:sz w:val="28"/>
          <w:szCs w:val="20"/>
          <w:shd w:val="clear" w:color="auto" w:fill="FFFFFF"/>
        </w:rPr>
      </w:pPr>
    </w:p>
    <w:p w:rsidR="000B619E" w:rsidRDefault="00F4755B">
      <w:pPr>
        <w:jc w:val="center"/>
        <w:rPr>
          <w:rFonts w:eastAsia="Times New Roman" w:cs="Times New Roman"/>
          <w:color w:val="FF0000"/>
          <w:szCs w:val="20"/>
          <w:shd w:val="clear" w:color="auto" w:fill="FFFFFF"/>
        </w:rPr>
      </w:pPr>
      <w:r>
        <w:rPr>
          <w:noProof/>
          <w:lang w:bidi="ar-SA"/>
        </w:rPr>
        <w:drawing>
          <wp:inline distT="0" distB="0" distL="0" distR="0">
            <wp:extent cx="1338580" cy="15544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8580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7" w:rightFromText="187" w:vertAnchor="page" w:horzAnchor="margin" w:tblpX="1" w:tblpY="13830"/>
        <w:tblW w:w="5000" w:type="pct"/>
        <w:tblBorders>
          <w:top w:val="single" w:sz="4" w:space="0" w:color="000000"/>
        </w:tblBorders>
        <w:tblLook w:val="04A0"/>
      </w:tblPr>
      <w:tblGrid>
        <w:gridCol w:w="9821"/>
      </w:tblGrid>
      <w:tr w:rsidR="000B619E">
        <w:trPr>
          <w:trHeight w:val="214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B619E" w:rsidRDefault="00F4755B">
            <w:pPr>
              <w:jc w:val="center"/>
              <w:rPr>
                <w:rFonts w:ascii="Calibri" w:eastAsia="Times New Roman" w:hAnsi="Calibri" w:cs="Times New Roman"/>
                <w:b/>
                <w:caps/>
                <w:color w:val="FF0000"/>
                <w:sz w:val="28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ascii="Calibri" w:eastAsia="Times New Roman" w:hAnsi="Calibri" w:cs="Times New Roman"/>
                <w:b/>
                <w:caps/>
                <w:color w:val="000000"/>
                <w:sz w:val="28"/>
                <w:szCs w:val="20"/>
                <w:shd w:val="clear" w:color="auto" w:fill="FFFFFF"/>
                <w:lang w:eastAsia="en-US" w:bidi="ar-SA"/>
              </w:rPr>
              <w:t>chorzów, 14 listopada 2025 r.</w:t>
            </w:r>
          </w:p>
        </w:tc>
      </w:tr>
    </w:tbl>
    <w:p w:rsidR="000B619E" w:rsidRDefault="000B619E">
      <w:pPr>
        <w:jc w:val="center"/>
        <w:rPr>
          <w:rFonts w:ascii="Calibri" w:eastAsia="Times New Roman" w:hAnsi="Calibri" w:cs="Times New Roman"/>
          <w:color w:val="FF0000"/>
          <w:sz w:val="28"/>
          <w:szCs w:val="20"/>
          <w:shd w:val="clear" w:color="auto" w:fill="FFFFFF"/>
          <w:lang w:eastAsia="en-US" w:bidi="ar-SA"/>
        </w:rPr>
      </w:pPr>
    </w:p>
    <w:p w:rsidR="000B619E" w:rsidRDefault="000B619E">
      <w:pPr>
        <w:jc w:val="center"/>
        <w:rPr>
          <w:rFonts w:ascii="Calibri" w:eastAsia="Times New Roman" w:hAnsi="Calibri" w:cs="Times New Roman"/>
          <w:color w:val="FF0000"/>
          <w:sz w:val="28"/>
          <w:szCs w:val="20"/>
          <w:shd w:val="clear" w:color="auto" w:fill="FFFFFF"/>
          <w:lang w:eastAsia="en-US" w:bidi="ar-SA"/>
        </w:rPr>
      </w:pPr>
    </w:p>
    <w:p w:rsidR="000B619E" w:rsidRDefault="000B619E">
      <w:pPr>
        <w:jc w:val="center"/>
        <w:rPr>
          <w:rFonts w:ascii="Calibri" w:eastAsia="Times New Roman" w:hAnsi="Calibri" w:cs="Times New Roman"/>
          <w:color w:val="FF0000"/>
          <w:sz w:val="28"/>
          <w:szCs w:val="20"/>
          <w:shd w:val="clear" w:color="auto" w:fill="FFFFFF"/>
          <w:lang w:eastAsia="en-US" w:bidi="ar-SA"/>
        </w:rPr>
      </w:pPr>
    </w:p>
    <w:p w:rsidR="000B619E" w:rsidRDefault="000B619E">
      <w:pPr>
        <w:jc w:val="center"/>
        <w:rPr>
          <w:rFonts w:ascii="Calibri" w:eastAsia="Times New Roman" w:hAnsi="Calibri" w:cs="Times New Roman"/>
          <w:color w:val="000000"/>
          <w:sz w:val="28"/>
          <w:szCs w:val="20"/>
          <w:shd w:val="clear" w:color="auto" w:fill="FFFFFF"/>
          <w:lang w:eastAsia="en-US" w:bidi="ar-SA"/>
        </w:rPr>
      </w:pPr>
    </w:p>
    <w:p w:rsidR="000B619E" w:rsidRDefault="00F4755B">
      <w:pPr>
        <w:jc w:val="center"/>
        <w:rPr>
          <w:rFonts w:eastAsia="Times New Roman" w:cs="Times New Roman"/>
          <w:b/>
          <w:color w:val="000000"/>
          <w:sz w:val="28"/>
          <w:szCs w:val="20"/>
        </w:rPr>
      </w:pPr>
      <w:r>
        <w:rPr>
          <w:rFonts w:eastAsia="Times New Roman" w:cs="Times New Roman"/>
          <w:b/>
          <w:color w:val="000000"/>
          <w:sz w:val="28"/>
          <w:szCs w:val="20"/>
        </w:rPr>
        <w:t>Projekt Wieloletniej Prognozy Finansowej Miasta Chorzów</w:t>
      </w:r>
    </w:p>
    <w:p w:rsidR="000B619E" w:rsidRDefault="00F4755B">
      <w:pPr>
        <w:jc w:val="center"/>
        <w:rPr>
          <w:rFonts w:ascii="Calibri" w:eastAsia="Times New Roman" w:hAnsi="Calibri" w:cs="Times New Roman"/>
          <w:color w:val="000000"/>
          <w:sz w:val="28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 w:val="28"/>
          <w:szCs w:val="20"/>
          <w:shd w:val="clear" w:color="auto" w:fill="FFFFFF"/>
          <w:lang w:eastAsia="en-US" w:bidi="ar-SA"/>
        </w:rPr>
        <w:t>na lata 2026 - 2029</w:t>
      </w:r>
    </w:p>
    <w:p w:rsidR="000B619E" w:rsidRDefault="00F4755B">
      <w:pPr>
        <w:jc w:val="center"/>
        <w:rPr>
          <w:rFonts w:eastAsia="Times New Roman" w:cs="Times New Roman"/>
          <w:b/>
          <w:color w:val="FF0000"/>
          <w:sz w:val="28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FF0000"/>
          <w:sz w:val="28"/>
          <w:szCs w:val="20"/>
          <w:shd w:val="clear" w:color="auto" w:fill="FFFFFF"/>
          <w:lang w:eastAsia="en-US" w:bidi="ar-SA"/>
        </w:rPr>
        <w:br w:type="page"/>
      </w:r>
      <w:r>
        <w:rPr>
          <w:rFonts w:eastAsia="Times New Roman" w:cs="Times New Roman"/>
          <w:b/>
          <w:color w:val="000000"/>
          <w:sz w:val="28"/>
          <w:szCs w:val="20"/>
          <w:shd w:val="clear" w:color="auto" w:fill="FFFFFF"/>
          <w:lang w:eastAsia="en-US" w:bidi="ar-SA"/>
        </w:rPr>
        <w:lastRenderedPageBreak/>
        <w:t>OBJAŚNIENIA DO WIELOLETNIEJ PROGNOZY FINANSOWEJ MIASTA CHORZÓW</w:t>
      </w:r>
    </w:p>
    <w:p w:rsidR="000B619E" w:rsidRDefault="00F4755B">
      <w:pPr>
        <w:jc w:val="center"/>
        <w:rPr>
          <w:rFonts w:eastAsia="Times New Roman" w:cs="Times New Roman"/>
          <w:b/>
          <w:color w:val="000000"/>
          <w:sz w:val="28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 w:val="28"/>
          <w:szCs w:val="20"/>
          <w:shd w:val="clear" w:color="auto" w:fill="FFFFFF"/>
          <w:lang w:eastAsia="en-US" w:bidi="ar-SA"/>
        </w:rPr>
        <w:t>NA LATA 2026-2029</w:t>
      </w:r>
    </w:p>
    <w:p w:rsidR="000B619E" w:rsidRDefault="000B619E">
      <w:pPr>
        <w:jc w:val="left"/>
        <w:rPr>
          <w:rFonts w:eastAsia="Times New Roman" w:cs="Times New Roman"/>
          <w:color w:val="FF0000"/>
          <w:szCs w:val="20"/>
          <w:shd w:val="clear" w:color="auto" w:fill="FFFFFF"/>
          <w:lang w:eastAsia="en-US" w:bidi="ar-SA"/>
        </w:rPr>
      </w:pPr>
    </w:p>
    <w:p w:rsidR="000B619E" w:rsidRDefault="00F4755B">
      <w:pPr>
        <w:spacing w:line="360" w:lineRule="auto"/>
        <w:ind w:firstLine="708"/>
        <w:rPr>
          <w:rFonts w:eastAsia="Times New Roman" w:cs="Times New Roman"/>
          <w:color w:val="FF0000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 xml:space="preserve">Wieloletnia Prognoza Finansowa Miasta Chorzów została sporządzona w oparciu </w:t>
      </w: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br/>
        <w:t>o przepisy wynikające z ustawy z dnia 27 sierpnia 2009 r. o finansach publicznych (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t.j. Dz.U. z 2024 r. poz.1530 z późn. zm.</w:t>
      </w: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>) oraz rozporządzenia Ministra Finansów z dnia 10 stycznia 2013 r. w sprawie wieloletniej prognozy finansowej jednostki samorządu terytorialnego (t.j. Dz. U. z 2021 r. poz. 83).</w:t>
      </w:r>
      <w:r>
        <w:rPr>
          <w:rFonts w:ascii="Calibri" w:eastAsia="Times New Roman" w:hAnsi="Calibri" w:cs="Times New Roman"/>
          <w:color w:val="000000"/>
          <w:szCs w:val="20"/>
          <w:shd w:val="clear" w:color="auto" w:fill="FFFFFF"/>
          <w:lang w:eastAsia="en-US" w:bidi="ar-SA"/>
        </w:rPr>
        <w:t xml:space="preserve"> W</w:t>
      </w: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>ielkości  przyjęte  w  Wieloletniej  Prognozie  Finansowej  są  prezentowane  zgodnie  ze   wzorem określonym  w  załączniku  nr  1  do  cytowanego wyżej  rozporządzenia  Ministra  Finansów, Inwestycji i Rozwoju zawiera wszystkie elementy wyszczególnione w przepisach. Okres na jaki przyjmuje się Wieloletnią Prognozę Finansową to lata, w których zaplanowane są do realizacji przedsięwzięcia. Pozycje w Tabeli I. Wieloletnia Prognoza Finansowa Miasta Chorzów to pozycje niezwiązane z zaciągniętymi lub planowanymi do zaciągnięcia zobowiązaniami dłużnymi zaplanowano zgodnie z art.227 ust. 1 ustawy o finansach publicznych, na okres roku budżetowego oraz co najmniej trzech kolejnych lat budżetowych. Pozostałe pozycje planowane zostały w perspektywie do roku 2053.</w:t>
      </w:r>
    </w:p>
    <w:p w:rsidR="000B619E" w:rsidRDefault="000B619E">
      <w:pPr>
        <w:spacing w:line="360" w:lineRule="auto"/>
        <w:ind w:firstLine="708"/>
        <w:rPr>
          <w:rFonts w:eastAsia="Times New Roman" w:cs="Times New Roman"/>
          <w:color w:val="FF0000"/>
          <w:szCs w:val="20"/>
          <w:shd w:val="clear" w:color="auto" w:fill="FFFFFF"/>
          <w:lang w:eastAsia="en-US" w:bidi="ar-SA"/>
        </w:rPr>
      </w:pPr>
    </w:p>
    <w:p w:rsidR="000B619E" w:rsidRDefault="00F4755B">
      <w:pPr>
        <w:spacing w:line="360" w:lineRule="auto"/>
        <w:ind w:firstLine="708"/>
        <w:rPr>
          <w:rFonts w:eastAsia="Times New Roman" w:cs="Times New Roman"/>
          <w:color w:val="FF0000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 xml:space="preserve">Przy tworzeniu tego dokumentu priorytetem dla Miasta było wyasygnowanie jak największych środków na realizację przedsięwzięć inwestycyjnych. Stąd wśród przedsięwzięć wyszczególniono przede wszystkim długookresowe projekty inwestycyjne realizowane z udziałem środków pozyskanych ze źródeł zewnętrznych, głównie z Rządowego Funduszu Polski Ład, Rządowego Funduszu Dróg Samorządowych, ze środków Unii Europejskiej lub finansowane tylko ze środków własnych. </w:t>
      </w:r>
    </w:p>
    <w:p w:rsidR="000B619E" w:rsidRDefault="00F4755B">
      <w:pPr>
        <w:widowControl w:val="0"/>
        <w:suppressAutoHyphens/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zh-CN" w:eastAsia="zh-CN" w:bidi="zh-CN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 xml:space="preserve">Przygotowując prognozę na lata 2026 – 2053 </w:t>
      </w:r>
      <w:r>
        <w:rPr>
          <w:rFonts w:eastAsia="Times New Roman" w:cs="Times New Roman"/>
          <w:color w:val="000000"/>
          <w:szCs w:val="20"/>
          <w:shd w:val="clear" w:color="auto" w:fill="FFFFFF"/>
          <w:lang w:val="zh-CN" w:eastAsia="zh-CN" w:bidi="zh-CN"/>
        </w:rPr>
        <w:t>wykorzystana została projekcja inflacji i PKB (według opublikowanej na stronie Ministerstwa Finansów wytycznych dotyczących stosowania jednolitych wskaźników makroekonomicznych będących podstawą oszacowania skutków finansowych projektowanych ustaw – aktualizacja w lipiec 2025 r.). Wartości te ilustruje poniższa tabela.</w:t>
      </w:r>
    </w:p>
    <w:p w:rsidR="000B619E" w:rsidRDefault="000B619E">
      <w:pPr>
        <w:widowControl w:val="0"/>
        <w:suppressAutoHyphens/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zh-CN" w:eastAsia="zh-CN" w:bidi="zh-CN"/>
        </w:rPr>
      </w:pPr>
    </w:p>
    <w:p w:rsidR="000B619E" w:rsidRDefault="000B619E">
      <w:pPr>
        <w:widowControl w:val="0"/>
        <w:suppressAutoHyphens/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zh-CN" w:eastAsia="zh-CN" w:bidi="zh-CN"/>
        </w:rPr>
      </w:pPr>
    </w:p>
    <w:p w:rsidR="000B619E" w:rsidRDefault="000B619E">
      <w:pPr>
        <w:widowControl w:val="0"/>
        <w:suppressAutoHyphens/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zh-CN" w:eastAsia="zh-CN" w:bidi="zh-CN"/>
        </w:rPr>
      </w:pPr>
    </w:p>
    <w:p w:rsidR="000B619E" w:rsidRDefault="000B619E">
      <w:pPr>
        <w:widowControl w:val="0"/>
        <w:suppressAutoHyphens/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zh-CN" w:eastAsia="zh-CN" w:bidi="zh-CN"/>
        </w:rPr>
      </w:pPr>
    </w:p>
    <w:p w:rsidR="000B619E" w:rsidRDefault="000B619E">
      <w:pPr>
        <w:widowControl w:val="0"/>
        <w:suppressAutoHyphens/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zh-CN" w:eastAsia="zh-CN" w:bidi="zh-CN"/>
        </w:rPr>
      </w:pPr>
    </w:p>
    <w:p w:rsidR="000B619E" w:rsidRDefault="000B619E">
      <w:pPr>
        <w:widowControl w:val="0"/>
        <w:suppressAutoHyphens/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zh-CN" w:eastAsia="zh-CN" w:bidi="zh-CN"/>
        </w:rPr>
      </w:pPr>
    </w:p>
    <w:p w:rsidR="000B619E" w:rsidRDefault="000B619E">
      <w:pPr>
        <w:widowControl w:val="0"/>
        <w:suppressAutoHyphens/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zh-CN" w:eastAsia="zh-CN" w:bidi="zh-CN"/>
        </w:rPr>
      </w:pPr>
    </w:p>
    <w:p w:rsidR="000B619E" w:rsidRDefault="000B619E">
      <w:pPr>
        <w:widowControl w:val="0"/>
        <w:suppressAutoHyphens/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zh-CN" w:eastAsia="zh-CN" w:bidi="zh-CN"/>
        </w:rPr>
      </w:pPr>
    </w:p>
    <w:p w:rsidR="000B619E" w:rsidRDefault="000B619E">
      <w:pPr>
        <w:widowControl w:val="0"/>
        <w:suppressAutoHyphens/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zh-CN" w:eastAsia="zh-CN" w:bidi="zh-CN"/>
        </w:rPr>
      </w:pPr>
    </w:p>
    <w:p w:rsidR="000B619E" w:rsidRDefault="000B619E">
      <w:pPr>
        <w:widowControl w:val="0"/>
        <w:suppressAutoHyphens/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zh-CN" w:eastAsia="zh-CN" w:bidi="zh-CN"/>
        </w:rPr>
      </w:pPr>
    </w:p>
    <w:p w:rsidR="000B619E" w:rsidRDefault="000B619E">
      <w:pPr>
        <w:widowControl w:val="0"/>
        <w:suppressAutoHyphens/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zh-CN" w:eastAsia="zh-CN" w:bidi="zh-CN"/>
        </w:rPr>
      </w:pPr>
    </w:p>
    <w:p w:rsidR="000B619E" w:rsidRDefault="000B619E">
      <w:pPr>
        <w:widowControl w:val="0"/>
        <w:suppressAutoHyphens/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zh-CN" w:eastAsia="zh-CN" w:bidi="zh-CN"/>
        </w:rPr>
      </w:pPr>
    </w:p>
    <w:p w:rsidR="000B619E" w:rsidRDefault="00F4755B">
      <w:pPr>
        <w:widowControl w:val="0"/>
        <w:suppressAutoHyphens/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zh-CN" w:eastAsia="zh-CN" w:bidi="zh-CN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zh-CN" w:eastAsia="zh-CN" w:bidi="zh-CN"/>
        </w:rPr>
        <w:t>Tabela nr 1 Podstawowe wskaźniki makroekonomiczne nalata 2023-2028 r.</w:t>
      </w:r>
    </w:p>
    <w:p w:rsidR="000B619E" w:rsidRDefault="00F4755B">
      <w:pPr>
        <w:widowControl w:val="0"/>
        <w:suppressAutoHyphens/>
        <w:spacing w:line="360" w:lineRule="auto"/>
        <w:rPr>
          <w:rFonts w:eastAsia="Times New Roman" w:cs="Times New Roman"/>
          <w:color w:val="FF0000"/>
          <w:szCs w:val="20"/>
          <w:shd w:val="clear" w:color="auto" w:fill="FFFFFF"/>
          <w:lang w:val="zh-CN" w:eastAsia="zh-CN" w:bidi="zh-CN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716270" cy="494601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6270" cy="4946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619E" w:rsidRDefault="00F4755B">
      <w:pPr>
        <w:widowControl w:val="0"/>
        <w:suppressAutoHyphens/>
        <w:spacing w:line="360" w:lineRule="auto"/>
        <w:rPr>
          <w:rFonts w:eastAsia="Times New Roman" w:cs="Times New Roman"/>
          <w:color w:val="000000"/>
          <w:sz w:val="18"/>
          <w:szCs w:val="20"/>
          <w:shd w:val="clear" w:color="auto" w:fill="FFFFFF"/>
          <w:lang w:val="zh-CN" w:eastAsia="zh-CN" w:bidi="zh-CN"/>
        </w:rPr>
      </w:pPr>
      <w:r>
        <w:rPr>
          <w:rFonts w:eastAsia="Times New Roman" w:cs="Times New Roman"/>
          <w:color w:val="000000"/>
          <w:sz w:val="18"/>
          <w:szCs w:val="20"/>
          <w:shd w:val="clear" w:color="auto" w:fill="FFFFFF"/>
          <w:lang w:val="zh-CN" w:eastAsia="zh-CN" w:bidi="zh-CN"/>
        </w:rPr>
        <w:t>Źródło. www.gov.pl</w:t>
      </w:r>
    </w:p>
    <w:p w:rsidR="000B619E" w:rsidRDefault="000B619E">
      <w:pPr>
        <w:spacing w:line="360" w:lineRule="auto"/>
        <w:ind w:firstLine="360"/>
        <w:rPr>
          <w:rFonts w:eastAsia="Times New Roman" w:cs="Times New Roman"/>
          <w:color w:val="000000"/>
          <w:szCs w:val="20"/>
          <w:shd w:val="clear" w:color="auto" w:fill="FFFFFF"/>
        </w:rPr>
      </w:pPr>
    </w:p>
    <w:p w:rsidR="000B619E" w:rsidRDefault="00F4755B">
      <w:pPr>
        <w:spacing w:line="360" w:lineRule="auto"/>
        <w:ind w:firstLine="360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Opierając się na danych historycznych, przewidywanego wykonania za rok 2025 oraz  analizie zmian w przepisach pod kątem ich wpływu na sytuację finansową Miasta w 2026 roku oraz w latach następnych, a także biorąc pod uwagę wcześniej opisane prognozy makroekonomiczne zaprognozowano poszczególne źródła dochodów oraz grupy wydatków.</w:t>
      </w:r>
    </w:p>
    <w:p w:rsidR="000B619E" w:rsidRDefault="000B619E">
      <w:pPr>
        <w:spacing w:line="360" w:lineRule="auto"/>
        <w:ind w:firstLine="360"/>
        <w:rPr>
          <w:rFonts w:eastAsia="Times New Roman" w:cs="Times New Roman"/>
          <w:color w:val="000000"/>
          <w:szCs w:val="20"/>
          <w:shd w:val="clear" w:color="auto" w:fill="FFFFFF"/>
        </w:rPr>
      </w:pPr>
    </w:p>
    <w:p w:rsidR="000B619E" w:rsidRDefault="00F4755B">
      <w:pPr>
        <w:spacing w:line="360" w:lineRule="auto"/>
        <w:ind w:firstLine="360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Dochody i wydatki w Wieloletniej Prognozie Finansowej prognozowane są w podziale na dochody bieżące i majątkowe, a dochody dodatkowo wg źródeł. W roku 2026 kwoty zostały przyjęte zgodnie z projektem budżetu, natomiast w latach następnych zostały zaplanowane wg poniższych założeń:</w:t>
      </w:r>
    </w:p>
    <w:p w:rsidR="000B619E" w:rsidRDefault="000B619E">
      <w:pPr>
        <w:spacing w:line="360" w:lineRule="auto"/>
        <w:rPr>
          <w:rFonts w:eastAsia="Times New Roman" w:cs="Times New Roman"/>
          <w:color w:val="FF0000"/>
          <w:szCs w:val="20"/>
          <w:shd w:val="clear" w:color="auto" w:fill="FFFFFF"/>
        </w:rPr>
      </w:pPr>
    </w:p>
    <w:p w:rsidR="000B619E" w:rsidRDefault="00F4755B">
      <w:pPr>
        <w:pBdr>
          <w:bottom w:val="single" w:sz="4" w:space="1" w:color="auto"/>
        </w:pBdr>
        <w:spacing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Dochody bieżące</w:t>
      </w:r>
    </w:p>
    <w:p w:rsidR="000B619E" w:rsidRDefault="000B619E">
      <w:pPr>
        <w:spacing w:line="360" w:lineRule="auto"/>
        <w:ind w:firstLine="708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</w:p>
    <w:p w:rsidR="000B619E" w:rsidRDefault="00F4755B">
      <w:pPr>
        <w:spacing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 xml:space="preserve">Udziały we wpływach w podatku dochodowym  od osób fizycznych 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- wpływy z  tego źródła w roku  2026 przyjęte w prognozie kwoty wynikają z  informacji otrzymanych z Ministerstwa Finansów, w latach 2027 – 2030 zaplanowano w oparciu o wzrost PKB przyjęty w założeniach makroekonomicznych  powiększony o 1,5% w 2026 r. oraz 1 % w latach 2027-2029. Prognoza jest wrażliwa na ewentualne zmiany 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lastRenderedPageBreak/>
        <w:t>legislacyjne (nowelizacje ustawy o dochodach JST, modyfikacje ulg PIT), odchylenia dynamiki płac i zatrudnienia oraz korektę z tytułu zamożności – w przypadku materializacji zmian prognozę należy zaktualizować po publikacji korekt Ministerstwa Finansów.</w:t>
      </w:r>
    </w:p>
    <w:p w:rsidR="000B619E" w:rsidRDefault="00F4755B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Udziały we wpływach w podatku dochodowym  od osób prawnych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- wpływy z  tego źródła w roku  </w:t>
      </w:r>
    </w:p>
    <w:p w:rsidR="000B619E" w:rsidRDefault="00F4755B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2026 przyjęte w prognozie kwoty wynikają z  informacji otrzymanych z Ministerstwa Finansów, w latach 2026 – 2029 zaplanowano w oparciu o wzrost PKB przyjęty w założeniach makroekonomicznych powiększony o 3%. </w:t>
      </w:r>
    </w:p>
    <w:p w:rsidR="000B619E" w:rsidRDefault="000B619E">
      <w:pPr>
        <w:spacing w:line="360" w:lineRule="auto"/>
        <w:rPr>
          <w:rFonts w:eastAsia="Times New Roman" w:cs="Times New Roman"/>
          <w:b/>
          <w:color w:val="FF0000"/>
          <w:szCs w:val="20"/>
          <w:shd w:val="clear" w:color="auto" w:fill="FFFFFF"/>
        </w:rPr>
      </w:pPr>
    </w:p>
    <w:p w:rsidR="000B619E" w:rsidRDefault="00F4755B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Subwencje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-  prognoza  obejmuje  część  oświatową, równoważącą i wyrównawczą  subwencji  ogólnej. W roku  2026 przyjęte w prognozie kwoty wynikają z  informacji otrzymanych z Ministerstwa Finansów, w latach 2026 – 2029 zaplanowano w oparciu o wzrost PKB przyjęty w założeniach makroekonomicznych  powiększony o 1,5% w 2026 r. oraz 1 % w latach 2027-2029.</w:t>
      </w:r>
    </w:p>
    <w:p w:rsidR="000B619E" w:rsidRDefault="000B619E">
      <w:pPr>
        <w:spacing w:line="360" w:lineRule="auto"/>
        <w:rPr>
          <w:rFonts w:eastAsia="Times New Roman" w:cs="Times New Roman"/>
          <w:color w:val="FF0000"/>
          <w:szCs w:val="20"/>
          <w:shd w:val="clear" w:color="auto" w:fill="FFFFFF"/>
        </w:rPr>
      </w:pPr>
    </w:p>
    <w:p w:rsidR="000B619E" w:rsidRDefault="00F4755B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Dotacje i środki przeznaczone na cele bieżące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– na dochody z tego źródła składają się dotacje celowe z budżetu państwa, dotacje z funduszy celowych, środki pochodzące z budżetu Unii Europejskiej.</w:t>
      </w:r>
    </w:p>
    <w:p w:rsidR="000B619E" w:rsidRDefault="00F4755B">
      <w:pPr>
        <w:numPr>
          <w:ilvl w:val="0"/>
          <w:numId w:val="1"/>
        </w:numPr>
        <w:spacing w:line="360" w:lineRule="auto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</w:rPr>
        <w:t xml:space="preserve">Dotacje celowe z budżetu państwa na rok 2026 przyjęto zgodnie z otrzymaną decyzja Wojewody Śląskiego. </w:t>
      </w:r>
    </w:p>
    <w:p w:rsidR="000B619E" w:rsidRDefault="00F4755B">
      <w:pPr>
        <w:numPr>
          <w:ilvl w:val="0"/>
          <w:numId w:val="1"/>
        </w:numPr>
        <w:spacing w:line="360" w:lineRule="auto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  <w:lang w:eastAsia="en-US" w:bidi="ar-SA"/>
        </w:rPr>
        <w:t xml:space="preserve">Dotacje na realizację programów z udziałem środków europejskich, zostały przyjęte zgodnie z zawartymi umowami o dofinansowanie i dotyczą projektów realizowanych przez Miasto. </w:t>
      </w:r>
    </w:p>
    <w:p w:rsidR="000B619E" w:rsidRDefault="000B619E">
      <w:pPr>
        <w:spacing w:line="360" w:lineRule="auto"/>
        <w:rPr>
          <w:rFonts w:eastAsia="Times New Roman" w:cs="Times New Roman"/>
          <w:b/>
          <w:color w:val="FF0000"/>
          <w:szCs w:val="20"/>
          <w:shd w:val="clear" w:color="auto" w:fill="FFFFFF"/>
        </w:rPr>
      </w:pPr>
    </w:p>
    <w:p w:rsidR="000B619E" w:rsidRDefault="00F4755B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Dochody z podatku od nieruchomości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- wysokość dochodów uzyskiwanych z tego najważniejszego</w:t>
      </w:r>
    </w:p>
    <w:p w:rsidR="000B619E" w:rsidRDefault="00F4755B">
      <w:pPr>
        <w:spacing w:line="360" w:lineRule="auto"/>
        <w:rPr>
          <w:rFonts w:eastAsia="Times New Roman" w:cs="Times New Roman"/>
          <w:color w:val="FF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źródła podatków lokalnych zależy od obowiązujących stawek, jak również od wielkości bazy podatkowej, w tym inwestycji realizowanych w mieście. W Wieloletniej Prognozie Finansowej wpływy z tego podatku po roku 2026 zaplanowano przyjmując coroczny wzrost o wskaźnik PKB. </w:t>
      </w:r>
    </w:p>
    <w:p w:rsidR="000B619E" w:rsidRDefault="000B619E">
      <w:pPr>
        <w:spacing w:line="360" w:lineRule="auto"/>
        <w:rPr>
          <w:rFonts w:eastAsia="Times New Roman" w:cs="Times New Roman"/>
          <w:color w:val="FF0000"/>
          <w:szCs w:val="20"/>
          <w:shd w:val="clear" w:color="auto" w:fill="FFFFFF"/>
        </w:rPr>
      </w:pPr>
    </w:p>
    <w:p w:rsidR="000B619E" w:rsidRDefault="00F4755B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Szacując </w:t>
      </w: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pozostałe dochody bieżące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wzięto pod uwagę dane historyczne, przewidywane wykonanie za 2025 rok oraz dane przekazane przez jednostki organizacyjne Miasta i Wydziały merytoryczne Urzędu Miasta Chorzów. Wpływy z podatku od czynności cywilno-prawnych przyjęto zakładając wzrost o wskaźnik PKB, natomiast w przypadku pozostałych podatków założono wzrost o wskaźnik inflacji.</w:t>
      </w:r>
    </w:p>
    <w:p w:rsidR="000B619E" w:rsidRDefault="000B619E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</w:p>
    <w:p w:rsidR="000B619E" w:rsidRDefault="00F4755B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Dochody bieżące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w latach 2031–2053 przyjęto na stałym poziomie nominalnym 1 074 506 629,73 zł, co stanowi konserwatywne założenie techniczne na odległy horyzont prognozy, ograniczające ryzyko przeszacowania. Przyjęcie poziomu stałego nominalnie implikuje spadek dochodów w ujęciu realnym; wartości te będą aktualizowane w kolejnych zmianach WPF po publikacji nowych założeń makroekonomicznych Ministerstwa Finansów dla okresu po 2030 r.</w:t>
      </w:r>
    </w:p>
    <w:p w:rsidR="000B619E" w:rsidRDefault="000B619E">
      <w:pPr>
        <w:spacing w:line="360" w:lineRule="auto"/>
        <w:rPr>
          <w:rFonts w:eastAsia="Times New Roman" w:cs="Times New Roman"/>
          <w:color w:val="FF0000"/>
          <w:szCs w:val="20"/>
          <w:shd w:val="clear" w:color="auto" w:fill="FFFFFF"/>
        </w:rPr>
      </w:pPr>
    </w:p>
    <w:p w:rsidR="000B619E" w:rsidRDefault="000B619E">
      <w:pPr>
        <w:spacing w:line="360" w:lineRule="auto"/>
        <w:rPr>
          <w:rFonts w:eastAsia="Times New Roman" w:cs="Times New Roman"/>
          <w:color w:val="FF0000"/>
          <w:szCs w:val="20"/>
          <w:shd w:val="clear" w:color="auto" w:fill="FFFFFF"/>
        </w:rPr>
      </w:pPr>
    </w:p>
    <w:p w:rsidR="000B619E" w:rsidRDefault="000B619E">
      <w:pPr>
        <w:spacing w:line="360" w:lineRule="auto"/>
        <w:rPr>
          <w:rFonts w:eastAsia="Times New Roman" w:cs="Times New Roman"/>
          <w:color w:val="FF0000"/>
          <w:szCs w:val="20"/>
          <w:shd w:val="clear" w:color="auto" w:fill="FFFFFF"/>
        </w:rPr>
      </w:pPr>
    </w:p>
    <w:p w:rsidR="000B619E" w:rsidRDefault="000B619E">
      <w:pPr>
        <w:spacing w:line="360" w:lineRule="auto"/>
        <w:rPr>
          <w:rFonts w:eastAsia="Times New Roman" w:cs="Times New Roman"/>
          <w:color w:val="FF0000"/>
          <w:szCs w:val="20"/>
          <w:shd w:val="clear" w:color="auto" w:fill="FFFFFF"/>
          <w:lang w:eastAsia="en-US" w:bidi="ar-SA"/>
        </w:rPr>
      </w:pPr>
    </w:p>
    <w:p w:rsidR="000B619E" w:rsidRDefault="00F4755B">
      <w:pPr>
        <w:pBdr>
          <w:bottom w:val="single" w:sz="4" w:space="1" w:color="auto"/>
        </w:pBdr>
        <w:spacing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Dochody majątkowe</w:t>
      </w:r>
    </w:p>
    <w:p w:rsidR="000B619E" w:rsidRDefault="000B619E">
      <w:pPr>
        <w:spacing w:line="360" w:lineRule="auto"/>
        <w:ind w:firstLine="708"/>
        <w:rPr>
          <w:rFonts w:eastAsia="Times New Roman" w:cs="Times New Roman"/>
          <w:color w:val="FF0000"/>
          <w:szCs w:val="20"/>
          <w:shd w:val="clear" w:color="auto" w:fill="FFFFFF"/>
          <w:lang w:eastAsia="en-US" w:bidi="ar-SA"/>
        </w:rPr>
      </w:pPr>
    </w:p>
    <w:p w:rsidR="000B619E" w:rsidRDefault="00F4755B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 xml:space="preserve">Dochody ze sprzedaży majątku 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w 2026 roku przyjęto na poziomie 17 023 930,00 złotych, zgodnie z projektem uchwały budżetowej. Na kwotę tę składają się przede wszystkim wpływy z odpłatnego nabycia prawa własności nieruchomości, w tym m.in. planowanej sprzedaży nieruchomości położonych przy ulicach Siemianowickiej i Metalowców, a także wpływy ze sprzedaży lokali mieszkalnych na rzecz głównych najemców oraz dochody z tytułu sprzedaży wolnych lokali mieszkalnych, w tym z rat za lokale sprzedane w latach poprzednich. Zgodnie z założeniami Wieloletniej Prognozy Finansowej środki te mają zapewnić finansowanie części zamierzeń inwestycyjnych Miasta. Realizacja planowanych dochodów zależy jednak od czynników zewnętrznych, w szczególności sytuacji na rynku nieruchomości, zainteresowania potencjalnych inwestorów oraz najemców, a także przebiegu postępowań przetargowych. W dochodach ze sprzedaży majątku na lata 2027–2029 uwzględniono kolejne nieruchomości ujęte w wykazie do sprzedaży, natomiast od 2030 roku przyjęto stały nominalny poziom 6 000 000,00 złotych rocznie jako ostrożne założenie techniczne, które będzie korygowane w ramach zmian Wieloletniej Prognozy Finansowej w zależności od aktualnej listy nieruchomości przeznaczonych do zbycia oraz warunków rynkowych.</w:t>
      </w:r>
    </w:p>
    <w:p w:rsidR="000B619E" w:rsidRDefault="000B619E">
      <w:pPr>
        <w:spacing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</w:p>
    <w:p w:rsidR="000B619E" w:rsidRDefault="00F4755B">
      <w:pPr>
        <w:spacing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 xml:space="preserve">Dotacje i środki przeznaczone na inwestycje – </w:t>
      </w: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>w tym: dotacje na realizację programów z udziałem środków europejskich, dotacje z Rządowego Funduszu Polski Ład zostały przyjęte w okresie objętym Wieloletnią Prognozą Finansową zgodnie ze złożonymi wnioskami bądź zawartymi umowami o dofinansowanie i dotyczą przedsięwzięć wieloletnich realizowanych przez Miasto Chorzów.</w:t>
      </w:r>
    </w:p>
    <w:p w:rsidR="000B619E" w:rsidRDefault="000B619E">
      <w:pPr>
        <w:spacing w:line="360" w:lineRule="auto"/>
        <w:rPr>
          <w:rFonts w:eastAsia="Times New Roman" w:cs="Times New Roman"/>
          <w:color w:val="FF0000"/>
          <w:szCs w:val="20"/>
          <w:shd w:val="clear" w:color="auto" w:fill="FFFFFF"/>
        </w:rPr>
      </w:pPr>
    </w:p>
    <w:p w:rsidR="000B619E" w:rsidRDefault="00F4755B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Dochody majątkowe od roku 2030 do roku 2053 zostały przyjęte na stałym poziomie 6.000.000,00 zł z tytułu sprzedaży majątku.</w:t>
      </w:r>
    </w:p>
    <w:p w:rsidR="000B619E" w:rsidRDefault="000B619E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</w:p>
    <w:p w:rsidR="000B619E" w:rsidRDefault="00F4755B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Wykres nr 1. Poziom dochodów bieżących i dochodów majątkowych w poszczególnych latach. </w:t>
      </w:r>
    </w:p>
    <w:p w:rsidR="000B619E" w:rsidRDefault="00F4755B">
      <w:pPr>
        <w:spacing w:line="360" w:lineRule="auto"/>
        <w:rPr>
          <w:rFonts w:eastAsia="Times New Roman" w:cs="Times New Roman"/>
          <w:noProof/>
          <w:color w:val="000000"/>
          <w:sz w:val="18"/>
          <w:szCs w:val="20"/>
          <w:shd w:val="clear" w:color="auto" w:fill="FFFFFF"/>
        </w:rPr>
      </w:pPr>
      <w:r>
        <w:rPr>
          <w:noProof/>
          <w:lang w:bidi="ar-SA"/>
        </w:rPr>
        <w:drawing>
          <wp:inline distT="0" distB="0" distL="0" distR="0">
            <wp:extent cx="4603115" cy="179260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3115" cy="179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619E" w:rsidRDefault="00F4755B">
      <w:pPr>
        <w:spacing w:line="360" w:lineRule="auto"/>
        <w:rPr>
          <w:rFonts w:eastAsia="Times New Roman" w:cs="Times New Roman"/>
          <w:noProof/>
          <w:color w:val="FF0000"/>
          <w:sz w:val="18"/>
          <w:szCs w:val="20"/>
          <w:shd w:val="clear" w:color="auto" w:fill="FFFFFF"/>
        </w:rPr>
      </w:pPr>
      <w:r>
        <w:rPr>
          <w:rFonts w:eastAsia="Times New Roman" w:cs="Times New Roman"/>
          <w:noProof/>
          <w:color w:val="000000"/>
          <w:sz w:val="18"/>
          <w:szCs w:val="20"/>
          <w:shd w:val="clear" w:color="auto" w:fill="FFFFFF"/>
        </w:rPr>
        <w:t>Źródło. Opracowanie własne</w:t>
      </w:r>
    </w:p>
    <w:p w:rsidR="000B619E" w:rsidRDefault="000B619E">
      <w:pPr>
        <w:spacing w:line="360" w:lineRule="auto"/>
        <w:rPr>
          <w:rFonts w:eastAsia="Times New Roman" w:cs="Times New Roman"/>
          <w:noProof/>
          <w:color w:val="FF0000"/>
          <w:sz w:val="18"/>
          <w:szCs w:val="20"/>
          <w:shd w:val="clear" w:color="auto" w:fill="FFFFFF"/>
        </w:rPr>
      </w:pPr>
    </w:p>
    <w:p w:rsidR="000B619E" w:rsidRDefault="00F4755B">
      <w:pPr>
        <w:pBdr>
          <w:bottom w:val="single" w:sz="4" w:space="1" w:color="auto"/>
        </w:pBdr>
        <w:spacing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Wydatki bieżące</w:t>
      </w:r>
    </w:p>
    <w:p w:rsidR="000B619E" w:rsidRDefault="00F4755B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Wysokość wydatków bieżących ustalono na podstawie analizy zadań obligatoryjnych, zawartych i planowanych zobowiązań oraz realnych możliwości finansowych Miasta. Jako punkt odniesienia stosuje się średnioroczną inflację (CPI) z rządowych założeń makroekonomicznych dla danego roku, przy czym rzeczywista ścieżka wydatków odzwierciedla strukturę i harmonogram poszczególnych pozycji, a nie sztywną stałą indeksację. Świadczenia o charakterze ustawowym oraz wydatki finansowane dotacjami 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lastRenderedPageBreak/>
        <w:t>ujmuje się zgodnie z przepisami i warunkami umów. W grupie wynagrodzeń i pochodnych wzrost nie obejmuje dotacji celowych które Miasto otrzyma w roku 2026. Aktualizacja w tym zakresie nastąpi na przestrzeni roku budżetowego po otrzymaniu decyzji od Wojewody Śląskiego. Ponadto od roku 2026 funkcjonować będzie Centrum Usług Wspólnych obsługujących nie tylko jednostki oświatowe i jednostki opiekuńczo- wychowawcze. Od nowego roku szkolnego planuje się utworzenie kilku zespołów łączących szkoły podstawowe z przedszkolami. Działania te spowodują ograniczenie wydatków bieżących nie tylko w dziale Oświata i wychowanie. Takie oszczędności są niezbędne, aby w obecnej sytuacji finansowej samorządów można było realizować nałożone zadania.</w:t>
      </w:r>
    </w:p>
    <w:p w:rsidR="000B619E" w:rsidRDefault="000B619E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</w:p>
    <w:p w:rsidR="000B619E" w:rsidRDefault="00F4755B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Plan będzie zmieniany, za wyjątkiem niżej wymienionych pozycji:</w:t>
      </w:r>
    </w:p>
    <w:p w:rsidR="000B619E" w:rsidRDefault="00F4755B">
      <w:pPr>
        <w:numPr>
          <w:ilvl w:val="0"/>
          <w:numId w:val="2"/>
        </w:numPr>
        <w:spacing w:line="360" w:lineRule="auto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</w:rPr>
        <w:t>Wydatki z tytułu poręczeń i gwarancji wynikają z zawartych w latach ubiegłych umów poręczenia,</w:t>
      </w:r>
    </w:p>
    <w:p w:rsidR="000B619E" w:rsidRDefault="00F4755B">
      <w:pPr>
        <w:numPr>
          <w:ilvl w:val="0"/>
          <w:numId w:val="2"/>
        </w:numPr>
        <w:spacing w:line="360" w:lineRule="auto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</w:rPr>
        <w:t>Wydatki na obsługę długu uwzględniają:</w:t>
      </w:r>
    </w:p>
    <w:p w:rsidR="000B619E" w:rsidRDefault="00F4755B">
      <w:pPr>
        <w:numPr>
          <w:ilvl w:val="0"/>
          <w:numId w:val="3"/>
        </w:numPr>
        <w:spacing w:line="360" w:lineRule="auto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</w:rPr>
        <w:t>odsetki od   pożyczek   zarówno  zaciągniętych,  jak i planowanej do zaciągnięcia w WFOŚiGW we wszystkich latach prognozy, wyliczane są na podstawie szczegółowych harmonogramów spłat.</w:t>
      </w:r>
    </w:p>
    <w:p w:rsidR="000B619E" w:rsidRDefault="00F4755B">
      <w:pPr>
        <w:numPr>
          <w:ilvl w:val="0"/>
          <w:numId w:val="3"/>
        </w:numPr>
        <w:spacing w:line="360" w:lineRule="auto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</w:rPr>
        <w:t>Odsetki od transz kredytu Europejskiego Banku Inwestycyjnego uwzględniając WIBOR 3M oraz marżę Banku, zakładając</w:t>
      </w:r>
      <w:r>
        <w:rPr>
          <w:rFonts w:eastAsia="Times New Roman" w:cs="Times New Roman"/>
          <w:color w:val="FF0000"/>
          <w:szCs w:val="20"/>
        </w:rPr>
        <w:t xml:space="preserve"> </w:t>
      </w:r>
      <w:r>
        <w:rPr>
          <w:rFonts w:eastAsia="Times New Roman" w:cs="Times New Roman"/>
          <w:color w:val="000000"/>
          <w:szCs w:val="20"/>
        </w:rPr>
        <w:t xml:space="preserve">spadek wskaźnika WIBOR lub stałe oprocentowanie w latach następnych. </w:t>
      </w:r>
    </w:p>
    <w:p w:rsidR="000B619E" w:rsidRDefault="00F4755B">
      <w:pPr>
        <w:numPr>
          <w:ilvl w:val="0"/>
          <w:numId w:val="3"/>
        </w:numPr>
        <w:spacing w:line="360" w:lineRule="auto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</w:rPr>
        <w:t>Od roku 2026 w wydatkach na  obsługę długu uwzględniono także koszty odsetek od planowanych do zaciągnięcia zobowiązań m.in. z tytułu kredytu w Europejskim Banku Inwestycyjnym.</w:t>
      </w:r>
    </w:p>
    <w:p w:rsidR="000B619E" w:rsidRDefault="00F4755B">
      <w:pPr>
        <w:numPr>
          <w:ilvl w:val="0"/>
          <w:numId w:val="2"/>
        </w:numPr>
        <w:spacing w:line="360" w:lineRule="auto"/>
        <w:ind w:left="709" w:hanging="283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</w:rPr>
        <w:t>Wydatki związane z projektami współfinansowanymi ze środków unijnych lub innych źródeł zewnętrznych zaplanowano zgodnie z zawartymi umowami bądź złożonymi wnioskami o dofinansowanie.</w:t>
      </w:r>
    </w:p>
    <w:p w:rsidR="000B619E" w:rsidRDefault="00F4755B">
      <w:pPr>
        <w:numPr>
          <w:ilvl w:val="0"/>
          <w:numId w:val="2"/>
        </w:numPr>
        <w:spacing w:line="360" w:lineRule="auto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</w:rPr>
        <w:t>Wydatki z tytułu świadczeń na rzecz osób fizycznych – w częściach pozostających w dyspozycji Miasta – zindeksowano o wskaźnik inflacji (CPI) pomniejszony o 1 pkt proc. zgodnie z założeniami makroekonomicznymi</w:t>
      </w:r>
    </w:p>
    <w:p w:rsidR="000B619E" w:rsidRDefault="000B619E">
      <w:pPr>
        <w:spacing w:line="360" w:lineRule="auto"/>
        <w:rPr>
          <w:rFonts w:eastAsia="Times New Roman" w:cs="Times New Roman"/>
          <w:color w:val="FF0000"/>
          <w:szCs w:val="20"/>
          <w:shd w:val="clear" w:color="auto" w:fill="FFFFFF"/>
        </w:rPr>
      </w:pPr>
    </w:p>
    <w:p w:rsidR="000B619E" w:rsidRDefault="00F4755B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Przy ustalaniu wydatków bieżących przyjęto konieczność ich ograniczenia, lub przynajmniej zahamowania wzrostu (m.in. zmniejszono wydatki na remonty, bieżące naprawy, wprowadzono rozwiązania zmierzające do oszczędności energetycznej, zaplanowano restrukturyzację zatrudnienia zarówno w Urzędzie, jak i w jednostkach organizacyjnych). Wydatki bieżące od roku 2030 przyjęto na stałym nominalnym poziomie odpowiadającym wartości z roku 2030, co stanowi konserwatywne założenie techniczne ograniczające ryzyko przeszacowania kosztów w odległym horyzoncie i będzie weryfikowane w kolejnych aktualizacjach WPF.</w:t>
      </w:r>
    </w:p>
    <w:p w:rsidR="000B619E" w:rsidRDefault="000B619E">
      <w:pPr>
        <w:pBdr>
          <w:bottom w:val="single" w:sz="4" w:space="1" w:color="auto"/>
        </w:pBdr>
        <w:spacing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</w:p>
    <w:p w:rsidR="000B619E" w:rsidRDefault="00F4755B">
      <w:pPr>
        <w:pBdr>
          <w:bottom w:val="single" w:sz="4" w:space="1" w:color="auto"/>
        </w:pBdr>
        <w:spacing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Wydatki majątkowe</w:t>
      </w:r>
    </w:p>
    <w:p w:rsidR="000B619E" w:rsidRDefault="000B619E">
      <w:pPr>
        <w:spacing w:line="360" w:lineRule="auto"/>
        <w:ind w:firstLine="708"/>
        <w:rPr>
          <w:rFonts w:eastAsia="Times New Roman" w:cs="Times New Roman"/>
          <w:color w:val="FF0000"/>
          <w:szCs w:val="20"/>
          <w:shd w:val="clear" w:color="auto" w:fill="FFFFFF"/>
          <w:lang w:eastAsia="en-US" w:bidi="ar-SA"/>
        </w:rPr>
      </w:pPr>
    </w:p>
    <w:p w:rsidR="000B619E" w:rsidRDefault="00F4755B">
      <w:pPr>
        <w:spacing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Przyjęte w prognozie wielkości wydatków majątkowych wynikają z Wykazu przedsięwzięć do WPF, powiększonego o wydatki na inwestycje roczne. </w:t>
      </w:r>
    </w:p>
    <w:p w:rsidR="000B619E" w:rsidRDefault="000B619E">
      <w:pPr>
        <w:spacing w:line="360" w:lineRule="auto"/>
        <w:ind w:firstLine="708"/>
        <w:rPr>
          <w:rFonts w:eastAsia="Times New Roman" w:cs="Times New Roman"/>
          <w:color w:val="FF0000"/>
          <w:szCs w:val="20"/>
          <w:shd w:val="clear" w:color="auto" w:fill="FFFFFF"/>
          <w:lang w:eastAsia="en-US" w:bidi="ar-SA"/>
        </w:rPr>
      </w:pPr>
    </w:p>
    <w:p w:rsidR="000B619E" w:rsidRDefault="00F4755B">
      <w:pPr>
        <w:spacing w:line="360" w:lineRule="auto"/>
        <w:ind w:firstLine="708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>Struktura Wieloletniej Prognozy Finansowej Miasta Chorzów pokazuje, że priorytetem dla budżetu jest dążenie do maksymalizacji nadwyżki operacyjnej tak, aby Miasto mogło realizować zaplanowane kolejne inwestycje przy zachowaniu pozytywnej relacji z art. 243 Ustawy o finansach publicznych.</w:t>
      </w:r>
    </w:p>
    <w:p w:rsidR="000B619E" w:rsidRDefault="00F4755B">
      <w:pPr>
        <w:spacing w:line="360" w:lineRule="auto"/>
        <w:ind w:firstLine="708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>Przedsięwzięcia w Wieloletniej Prognozie Finansowej Miasta określone są na lata 2026–2041. Horyzont ten wynika z układu limitów sięgających do 2041 r. w załączniku do WPF. Wydatki na przedsięwzięcia ogółem w całym okresie wynoszą 573.261.781,78 zł, w tym wydatki bieżące 28.002.519,91 zł, a wydatki majątkowe 545.259.261,87 zł. Dla lat 2026–2030 zaplanowano odpowiednio: 96.756.845,80 zł (2026), 78.047.671,46 zł (2027), 34.952.116,53 zł (2028), 23.966.600,00 zł (2029) i 23.235.100,00 zł (2030).</w:t>
      </w:r>
    </w:p>
    <w:p w:rsidR="000B619E" w:rsidRDefault="000B619E">
      <w:pPr>
        <w:spacing w:line="360" w:lineRule="auto"/>
        <w:ind w:firstLine="708"/>
        <w:rPr>
          <w:rFonts w:eastAsia="Times New Roman" w:cs="Times New Roman"/>
          <w:color w:val="FF0000"/>
          <w:szCs w:val="20"/>
          <w:shd w:val="clear" w:color="auto" w:fill="FFFFFF"/>
          <w:lang w:eastAsia="en-US" w:bidi="ar-SA"/>
        </w:rPr>
      </w:pPr>
    </w:p>
    <w:p w:rsidR="000B619E" w:rsidRDefault="00F4755B">
      <w:pPr>
        <w:spacing w:line="360" w:lineRule="auto"/>
        <w:ind w:firstLine="708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>Wydatki na programy, projekty lub zadania związane ze środkami, o których mowa w art. 5 ust. 1 pkt 2 i 3 u.f.p. (grupa 1.1) wynoszą łącznie 46.187.402,20 zł, z czego 12.801.215,80 zł stanowią wydatki bieżące, a 33.386.186,40 zł wydatki majątkowe. Bieżące wydatki w tej grupie to w głównej mierze projekty realizowane przez jednostki oświatowe (m.in. Technikum Mechaniczno-Elektryczne, ZSGU, ZST nr 1 – Erasmus+, „Korfanty szkoli swoich zawodowców”). W ramach majątkowych wydatków współfinansowanych ujęto m.in. inwestycje „Dostosowanie obiektu przy ul. Kochanowskiego 18 na potrzeby żłobka” oraz „Cyfryzacja administracji publicznej”.</w:t>
      </w:r>
    </w:p>
    <w:p w:rsidR="000B619E" w:rsidRDefault="000B619E">
      <w:pPr>
        <w:spacing w:line="360" w:lineRule="auto"/>
        <w:ind w:firstLine="708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</w:p>
    <w:p w:rsidR="000B619E" w:rsidRDefault="00F4755B">
      <w:pPr>
        <w:spacing w:line="360" w:lineRule="auto"/>
        <w:ind w:firstLine="708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>W grupie 1.3 (pozostałe przedsięwzięcia) zaplanowano łączne nakłady 527.074.379,58 zł, w tym 15.201.304,11 zł wydatków bieżących oraz 511.873.075,47 zł wydatków majątkowych. Do najistotniejszych inwestycji w tej grupie należą m.in.: „Przebudowa układu komunikacyjnego DK79 w ciągu ul. Katowickiej w Chorzowie”, „Przebudowa ul. Nowej, ul. Poznańskiej oraz ul. M. Skłodowskiej-Curie wraz z budową nowego obiektu inżynieryjnego”, a także zadania Miejskiego Zarządu Ulic i Mostów, takie jak „Rozbudowa inteligentnego systemu zarządzania ruchem w Chorzowie” oraz dokumentacja „Przebudowy ul. Gwareckiej”. W sferze sportu Miejski Ośrodek Rekreacji i Sportu realizuje m.in. „Budowę zadaszenia pneumatycznego nad boiskiem piłkarskim przy ul. Wolności”.</w:t>
      </w:r>
    </w:p>
    <w:p w:rsidR="000B619E" w:rsidRDefault="000B619E">
      <w:pPr>
        <w:spacing w:line="360" w:lineRule="auto"/>
        <w:ind w:firstLine="708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</w:p>
    <w:p w:rsidR="000B619E" w:rsidRDefault="00F4755B">
      <w:pPr>
        <w:spacing w:line="360" w:lineRule="auto"/>
        <w:ind w:firstLine="708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>Największą planowaną inwestycją WPF pozostaje „Przebudowa stadionu piłkarskiego przy ul. Cichej 6 w Chorzowie, obejmująca rozbudowę stadionu wraz z parkingami oraz infrastrukturą techniczną” o łącznych nakładach 395.296.900,00 zł i okresie realizacji 2023–2041.</w:t>
      </w:r>
    </w:p>
    <w:p w:rsidR="000B619E" w:rsidRDefault="000B619E">
      <w:pPr>
        <w:spacing w:line="360" w:lineRule="auto"/>
        <w:rPr>
          <w:rFonts w:eastAsia="Times New Roman" w:cs="Times New Roman"/>
          <w:color w:val="FF0000"/>
          <w:szCs w:val="20"/>
          <w:shd w:val="clear" w:color="auto" w:fill="FFFFFF"/>
          <w:lang w:eastAsia="en-US" w:bidi="ar-SA"/>
        </w:rPr>
      </w:pPr>
    </w:p>
    <w:p w:rsidR="000B619E" w:rsidRDefault="00F4755B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 xml:space="preserve">Wykres nr 2 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Poziom wydatków bieżących i wydatków majątkowych w poszczególnych latach. </w:t>
      </w:r>
    </w:p>
    <w:p w:rsidR="000B619E" w:rsidRDefault="00F4755B">
      <w:pPr>
        <w:spacing w:line="360" w:lineRule="auto"/>
        <w:rPr>
          <w:rFonts w:ascii="Calibri" w:eastAsia="Times New Roman" w:hAnsi="Calibri" w:cs="Times New Roman"/>
          <w:noProof/>
          <w:color w:val="000000"/>
          <w:szCs w:val="20"/>
          <w:shd w:val="clear" w:color="auto" w:fill="FFFFFF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212715" cy="208470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2715" cy="208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619E" w:rsidRDefault="00F4755B">
      <w:pPr>
        <w:spacing w:line="360" w:lineRule="auto"/>
        <w:rPr>
          <w:rFonts w:eastAsia="Times New Roman" w:cs="Times New Roman"/>
          <w:color w:val="000000"/>
          <w:sz w:val="16"/>
          <w:szCs w:val="20"/>
          <w:shd w:val="clear" w:color="auto" w:fill="FFFFFF"/>
        </w:rPr>
      </w:pPr>
      <w:r>
        <w:rPr>
          <w:rFonts w:eastAsia="Times New Roman" w:cs="Times New Roman"/>
          <w:noProof/>
          <w:color w:val="000000"/>
          <w:sz w:val="18"/>
          <w:szCs w:val="20"/>
          <w:shd w:val="clear" w:color="auto" w:fill="FFFFFF"/>
        </w:rPr>
        <w:t>Źródło. Opracowanie własne</w:t>
      </w:r>
    </w:p>
    <w:p w:rsidR="000B619E" w:rsidRDefault="000B619E">
      <w:pPr>
        <w:spacing w:line="360" w:lineRule="auto"/>
        <w:rPr>
          <w:rFonts w:eastAsia="Times New Roman" w:cs="Times New Roman"/>
          <w:color w:val="FF0000"/>
          <w:szCs w:val="20"/>
          <w:shd w:val="clear" w:color="auto" w:fill="FFFFFF"/>
          <w:lang w:eastAsia="en-US" w:bidi="ar-SA"/>
        </w:rPr>
      </w:pPr>
    </w:p>
    <w:p w:rsidR="000B619E" w:rsidRDefault="00F4755B">
      <w:pPr>
        <w:spacing w:line="360" w:lineRule="auto"/>
        <w:ind w:firstLine="708"/>
        <w:rPr>
          <w:rFonts w:eastAsia="Times New Roman" w:cs="Times New Roman"/>
          <w:color w:val="FF0000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  <w:lang w:eastAsia="en-US" w:bidi="ar-SA"/>
        </w:rPr>
        <w:t>Kwota długu</w:t>
      </w: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 xml:space="preserve"> w poszczególnych latach wykazana jest w pozycji 6 załącznika nr 1 do uchwały, jego spłata planowana jest z dochodów bieżących. Relacja planowanej łącznej kwoty spłat zobowiązań, o której mowa w art. 243 ust. 1 uofp do dochodów  jest spełniona. </w:t>
      </w:r>
    </w:p>
    <w:p w:rsidR="000B619E" w:rsidRDefault="000B619E">
      <w:pPr>
        <w:spacing w:line="360" w:lineRule="auto"/>
        <w:ind w:firstLine="708"/>
        <w:rPr>
          <w:rFonts w:eastAsia="Times New Roman" w:cs="Times New Roman"/>
          <w:color w:val="FF0000"/>
          <w:szCs w:val="20"/>
          <w:shd w:val="clear" w:color="auto" w:fill="FFFFFF"/>
          <w:lang w:eastAsia="en-US" w:bidi="ar-SA"/>
        </w:rPr>
      </w:pPr>
    </w:p>
    <w:p w:rsidR="000B619E" w:rsidRDefault="00F4755B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>Do ustalenia relacji, o której mowa w art. 243 ust. 1 ustawy z dnia 27 sierpnia 2009 r. o finansach publicznych, zastosowano zasady określone w art. 243 oraz art. 296b–296c tej ustawy oraz w „Metodologii opracowania wieloletniej prognozy finansowej jednostki samorządu terytorialnego”. W okresie 2022–2025 – zgodnie z art. 9 ust. 1 ustawy z dnia 14 grudnia 2018 r. o zmianie ustawy o finansach publicznych oraz niektórych innych ustaw oraz Zarządzeniem Nr BA.176.2021 Prezydenta Miasta Chorzów – przyjęto siedmioletni okres odniesienia średniej arytmetycznej z relacji dochodów bieżących powiększonych o dochody ze sprzedaży majątku oraz pomniejszonych o wydatki bieżące do dochodów bieżących budżetu. Zgodnie z nowelizacją ustawy o finansach publicznych z dnia 8 listopada 2024 r., przy ustalaniu relacji na rok 2026 i kolejne lata do dochodów bieżących budżetu pomniejszonych o wydatki bieżące dolicza się wykonane dochody ze sprzedaży majątku wynikające ze sprawozdań z wykonania budżetu Miasta.</w:t>
      </w:r>
    </w:p>
    <w:p w:rsidR="000B619E" w:rsidRDefault="000B619E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</w:p>
    <w:p w:rsidR="000B619E" w:rsidRDefault="00F4755B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>Poniższe wykresy przedstawiają relację wynikającą z indywidualnego wskaźnika zadłużenia – wykres nr 3 oraz relację kwoty długu do dochodów ogółem – wykres nr 4.</w:t>
      </w:r>
    </w:p>
    <w:p w:rsidR="000B619E" w:rsidRDefault="000B619E">
      <w:pPr>
        <w:spacing w:line="360" w:lineRule="auto"/>
        <w:rPr>
          <w:rFonts w:eastAsia="Times New Roman" w:cs="Times New Roman"/>
          <w:color w:val="000000"/>
          <w:sz w:val="18"/>
          <w:szCs w:val="20"/>
          <w:shd w:val="clear" w:color="auto" w:fill="FFFFFF"/>
          <w:lang w:eastAsia="en-US" w:bidi="ar-SA"/>
        </w:rPr>
      </w:pPr>
    </w:p>
    <w:p w:rsidR="000B619E" w:rsidRDefault="00F4755B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 xml:space="preserve">Wykres nr 3 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Relacja wynikająca z art. 243 Uofp. </w:t>
      </w:r>
    </w:p>
    <w:p w:rsidR="000B619E" w:rsidRDefault="00F4755B">
      <w:pPr>
        <w:spacing w:line="360" w:lineRule="auto"/>
        <w:rPr>
          <w:rFonts w:ascii="Calibri" w:eastAsia="Times New Roman" w:hAnsi="Calibri" w:cs="Times New Roman"/>
          <w:noProof/>
          <w:color w:val="000000"/>
          <w:szCs w:val="20"/>
          <w:shd w:val="clear" w:color="auto" w:fill="FFFFFF"/>
        </w:rPr>
      </w:pPr>
      <w:r>
        <w:rPr>
          <w:noProof/>
          <w:lang w:bidi="ar-SA"/>
        </w:rPr>
        <w:drawing>
          <wp:inline distT="0" distB="0" distL="0" distR="0">
            <wp:extent cx="4481195" cy="20542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1195" cy="205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619E" w:rsidRDefault="00F4755B">
      <w:pPr>
        <w:spacing w:line="360" w:lineRule="auto"/>
        <w:rPr>
          <w:rFonts w:eastAsia="Times New Roman" w:cs="Times New Roman"/>
          <w:color w:val="000000"/>
          <w:sz w:val="16"/>
          <w:szCs w:val="20"/>
          <w:shd w:val="clear" w:color="auto" w:fill="FFFFFF"/>
        </w:rPr>
      </w:pPr>
      <w:r>
        <w:rPr>
          <w:rFonts w:eastAsia="Times New Roman" w:cs="Times New Roman"/>
          <w:noProof/>
          <w:color w:val="000000"/>
          <w:sz w:val="18"/>
          <w:szCs w:val="20"/>
          <w:shd w:val="clear" w:color="auto" w:fill="FFFFFF"/>
        </w:rPr>
        <w:lastRenderedPageBreak/>
        <w:t>Źródło. Opracowanie własne</w:t>
      </w:r>
    </w:p>
    <w:p w:rsidR="000B619E" w:rsidRDefault="000B619E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</w:p>
    <w:p w:rsidR="000B619E" w:rsidRDefault="00F4755B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 xml:space="preserve">Wykres nr 4 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Relacja kwoty długu do dochodów ogółem. </w:t>
      </w:r>
    </w:p>
    <w:p w:rsidR="000B619E" w:rsidRDefault="00F4755B">
      <w:pPr>
        <w:spacing w:line="360" w:lineRule="auto"/>
        <w:rPr>
          <w:rFonts w:ascii="Calibri" w:eastAsia="Times New Roman" w:hAnsi="Calibri" w:cs="Times New Roman"/>
          <w:noProof/>
          <w:color w:val="000000"/>
          <w:szCs w:val="20"/>
          <w:shd w:val="clear" w:color="auto" w:fill="FFFFFF"/>
        </w:rPr>
      </w:pPr>
      <w:r>
        <w:rPr>
          <w:noProof/>
          <w:lang w:bidi="ar-SA"/>
        </w:rPr>
        <w:drawing>
          <wp:inline distT="0" distB="0" distL="0" distR="0">
            <wp:extent cx="4364990" cy="199326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4990" cy="199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619E" w:rsidRDefault="00F4755B">
      <w:pPr>
        <w:spacing w:line="360" w:lineRule="auto"/>
        <w:rPr>
          <w:rFonts w:eastAsia="Times New Roman" w:cs="Times New Roman"/>
          <w:color w:val="000000"/>
          <w:sz w:val="16"/>
          <w:szCs w:val="20"/>
          <w:shd w:val="clear" w:color="auto" w:fill="FFFFFF"/>
        </w:rPr>
      </w:pPr>
      <w:r>
        <w:rPr>
          <w:rFonts w:eastAsia="Times New Roman" w:cs="Times New Roman"/>
          <w:noProof/>
          <w:color w:val="000000"/>
          <w:sz w:val="18"/>
          <w:szCs w:val="20"/>
          <w:shd w:val="clear" w:color="auto" w:fill="FFFFFF"/>
        </w:rPr>
        <w:t>Źródło. Opracowanie własne</w:t>
      </w:r>
    </w:p>
    <w:p w:rsidR="000B619E" w:rsidRDefault="00F4755B">
      <w:pPr>
        <w:spacing w:line="360" w:lineRule="auto"/>
        <w:ind w:firstLine="709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  <w:lang w:eastAsia="en-US" w:bidi="ar-SA"/>
        </w:rPr>
        <w:t>Przychody</w:t>
      </w: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 xml:space="preserve"> zostały zaplanowane zgodnie z planowanymi wydatkami majątkowymi przeznaczonymi na inwestycje. Przychody zostały zaplanowane w powiązaniu z planowanymi wydatkami majątkowymi przeznaczonymi na inwestycje. W 2026 roku obejmują one planowaną transzę kredytu udzielonego przez Europejski Bank Inwestycyjny w kwocie 13.900.000,00 złotych oraz kredyt zaciągany na krajowym rynku finansowym w kwocie 63.600.000,00 złotych. W 2027 roku przewiduje się zaciągnięcie kredytu na krajowym rynku finansowym w kwocie 18.000.000,00 złotych.</w:t>
      </w:r>
    </w:p>
    <w:p w:rsidR="000B619E" w:rsidRDefault="000B619E">
      <w:pPr>
        <w:spacing w:line="360" w:lineRule="auto"/>
        <w:ind w:firstLine="709"/>
        <w:rPr>
          <w:rFonts w:eastAsia="Times New Roman" w:cs="Times New Roman"/>
          <w:b/>
          <w:color w:val="FF0000"/>
          <w:szCs w:val="20"/>
          <w:shd w:val="clear" w:color="auto" w:fill="FFFFFF"/>
          <w:lang w:eastAsia="en-US" w:bidi="ar-SA"/>
        </w:rPr>
      </w:pPr>
    </w:p>
    <w:p w:rsidR="000B619E" w:rsidRDefault="00F4755B">
      <w:pPr>
        <w:spacing w:line="360" w:lineRule="auto"/>
        <w:ind w:firstLine="708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  <w:lang w:eastAsia="en-US" w:bidi="ar-SA"/>
        </w:rPr>
        <w:t>Rozchody</w:t>
      </w: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 xml:space="preserve"> zostały zaplanowane zgodnie z już zaciągniętymi zobowiązaniami jak również z planowanymi do zaciągnięcia.</w:t>
      </w:r>
    </w:p>
    <w:p w:rsidR="000B619E" w:rsidRDefault="00F4755B">
      <w:pPr>
        <w:jc w:val="left"/>
        <w:rPr>
          <w:rFonts w:eastAsia="Times New Roman" w:cs="Times New Roman"/>
          <w:b/>
          <w:color w:val="000000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  <w:lang w:eastAsia="en-US" w:bidi="ar-SA"/>
        </w:rPr>
        <w:t>Objaśnienia do upoważnień Zarządu do zaciągania zobowiązań</w:t>
      </w:r>
    </w:p>
    <w:p w:rsidR="000B619E" w:rsidRDefault="00F4755B">
      <w:pPr>
        <w:spacing w:line="360" w:lineRule="auto"/>
        <w:ind w:firstLine="708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>W treści uchwały o przyjęciu WPF znalazło się upoważnienie do zaciągania zobowiązań na wymienione zadania, jak również Rada Miasta upoważnia do zaciągania innych niż wymienione zobowiązań, z tytułu umów, których realizacja w roku budżetowym i w latach następnych jest niezbędna dla zapewnienia ciągłości funkcjonowania jednostki, i z których wynikające płatności wykraczają poza rok budżetowy. Jednocześnie określa się wysokość zabezpieczonych w 2026 roku środków na świadczenia pracownicze.</w:t>
      </w:r>
    </w:p>
    <w:p w:rsidR="000B619E" w:rsidRDefault="000B619E">
      <w:pPr>
        <w:spacing w:line="360" w:lineRule="auto"/>
        <w:ind w:firstLine="708"/>
        <w:rPr>
          <w:rFonts w:eastAsia="Times New Roman" w:cs="Times New Roman"/>
          <w:color w:val="FF0000"/>
          <w:szCs w:val="20"/>
          <w:shd w:val="clear" w:color="auto" w:fill="FFFFFF"/>
          <w:lang w:eastAsia="en-US" w:bidi="ar-SA"/>
        </w:rPr>
      </w:pPr>
    </w:p>
    <w:p w:rsidR="000B619E" w:rsidRDefault="00F4755B">
      <w:pPr>
        <w:keepNext/>
        <w:spacing w:after="480" w:line="360" w:lineRule="auto"/>
        <w:ind w:firstLine="708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 xml:space="preserve">W ramach upoważnień do zaciągania zobowiązań z tytułu umów, których realizacja w roku budżetowym i w latach następnych jest niezbędna do zapewnienia ciągłości działania jednostki z których wynikające płatności wykraczają poza rok budżetowy , przewiduje się zawarcie w roku 2026 umów dotyczących wsparcie rodziny i pieczy zastępczej, wsparcie osób wymagających częściowej lub całodobowej opieki, zapewnienie żywienia w placówkach, schronienie dla osób bezdomnych, zakup usług internetowo-telekomunikacyjnych i obsługi informatycznej (abonamenty, licencje, nadzory autorskie, transmisja danych), dostawę mediów, ubezpieczenie mienia, zapewnienie obsługi bankowej oraz usług o podobnym charakterze (w tym związanych z obrotem instrumentami finansowymi), usługi pocztowe, obsługę prawną, utrzymanie urządzeń inżynierii ruchu, usługi bieżącego utrzymania dróg, zieleni i czystości w mieście wraz z infrastrukturą towarzyszącą, usługi konwojowe, dowożenie uczniów, usługi specjalistyczne </w:t>
      </w: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lastRenderedPageBreak/>
        <w:t>dotyczące bieżącego utrzymania mienia (w tym utrzymanie czystości pomieszczeń biurowych), usługi odbioru i zagospodarowania odpadów oraz realizację obowiązków wynikających z ustawy o gospodarowaniu odpadami komunalnymi, zakup paliwa, monitoring i ochronę mienia, usługi w zakresie badań medycyny pracy, dostawę tablic rejestracyjnych, usługi usuwania pojazdów wraz z przewozem na parking strzeżony, usługi odśnieżania, zapewnienie opieki nad dziećmi do lat 3, usługi wytworzenia i dostarczenia dokumentacji oraz oznaczeń komunikacyjnych, umowy związane z montażem oświetlenia świątecznego, zapewnienie zajęć edukacyjnych dla dzieci z Chorzowa na terenie innych miast w związku z realizacją podstawy programowej, usługi prowadzenia schroniska dla bezdomnych zwierząt oraz opieki nad zwierzętami gospodarskimi i dzikimi, usługi związane z odłowem, uśmierceniem oraz odstrzałem redukcyjnym zwierzyny łownej, profilaktykę oraz zapewnienie specjalistycznej pomocy lub/i wsparcia osobom z problemem uzależnień, rehabilitację społeczną i zawodową osób z niepełnosprawnościami, wystawianie kart zgonu i ustalanie ich przyczyny, opracowania redakcyjne, zakup, dostawę i kolportaż prasy, czasopism fachowych i informatorów miejskich oraz publikację ogłoszeń w dzienniku regionalnym i ogólnopolskim, konserwację i naprawę systemów alarmowych, realizację zadań wynikających ze szczególnych rozwiązań ustawowych związanych z zapewnieniem źródeł ciepła dla mieszkańców, zabezpieczenie pobytu w związku z działaniami wojennymi, organizację pochówku, usługi najmu niezbędne do realizacji zadań związanych z działalnością jednostki oraz zakup i dystrybucję bonów na artykuły spożywcze oraz wsparcie osób w sytuacjach kryzysowych.</w:t>
      </w:r>
    </w:p>
    <w:p w:rsidR="000B619E" w:rsidRDefault="00F4755B">
      <w:pPr>
        <w:keepNext/>
        <w:spacing w:after="480" w:line="360" w:lineRule="auto"/>
        <w:ind w:firstLine="708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>Katalog zadań ujęto w Zarządzeniu Nr BA.195.2025 Prezydenta Miasta Chorzów z dnia 30 października 2025 r. o zmianie Zarządzenia Prezydenta Miasta Chorzów Nr BA.153.2021 z dnia 15 listopada 2021 roku w sprawie określenia zakresu zadań, których realizacja w roku budżetowym i w latach następnych jest niezbędna do zapewnienia ciągłości działania jednostki,  i z których wynikające płatności wykraczają poza rok budżetowy.</w:t>
      </w:r>
    </w:p>
    <w:p w:rsidR="000B619E" w:rsidRDefault="000B619E">
      <w:pPr>
        <w:spacing w:line="360" w:lineRule="auto"/>
        <w:jc w:val="left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</w:p>
    <w:sectPr w:rsidR="000B619E" w:rsidSect="000B619E">
      <w:footerReference w:type="default" r:id="rId1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5C4" w:rsidRDefault="00EF35C4" w:rsidP="000B619E">
      <w:r>
        <w:separator/>
      </w:r>
    </w:p>
  </w:endnote>
  <w:endnote w:type="continuationSeparator" w:id="0">
    <w:p w:rsidR="00EF35C4" w:rsidRDefault="00EF35C4" w:rsidP="000B6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0B619E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0B619E" w:rsidRDefault="00F4755B">
          <w:pPr>
            <w:jc w:val="left"/>
            <w:rPr>
              <w:sz w:val="18"/>
            </w:rPr>
          </w:pPr>
          <w:r>
            <w:rPr>
              <w:sz w:val="18"/>
            </w:rPr>
            <w:t>Id: 4DB31E78-E9B4-4B71-A0E3-C9A1F6450940.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0B619E" w:rsidRDefault="00F4755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9E7BFC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E7BFC">
            <w:rPr>
              <w:sz w:val="18"/>
            </w:rPr>
            <w:fldChar w:fldCharType="separate"/>
          </w:r>
          <w:r w:rsidR="0055681D">
            <w:rPr>
              <w:noProof/>
              <w:sz w:val="18"/>
            </w:rPr>
            <w:t>1</w:t>
          </w:r>
          <w:r w:rsidR="009E7BFC">
            <w:rPr>
              <w:sz w:val="18"/>
            </w:rPr>
            <w:fldChar w:fldCharType="end"/>
          </w:r>
        </w:p>
      </w:tc>
    </w:tr>
  </w:tbl>
  <w:p w:rsidR="000B619E" w:rsidRDefault="000B619E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0B619E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0B619E" w:rsidRDefault="00F4755B">
          <w:pPr>
            <w:jc w:val="left"/>
            <w:rPr>
              <w:sz w:val="18"/>
            </w:rPr>
          </w:pPr>
          <w:r>
            <w:rPr>
              <w:sz w:val="18"/>
            </w:rPr>
            <w:t>Id: 4DB31E78-E9B4-4B71-A0E3-C9A1F6450940.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0B619E" w:rsidRDefault="00F4755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9E7BFC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E7BFC">
            <w:rPr>
              <w:sz w:val="18"/>
            </w:rPr>
            <w:fldChar w:fldCharType="separate"/>
          </w:r>
          <w:r w:rsidR="0055681D">
            <w:rPr>
              <w:noProof/>
              <w:sz w:val="18"/>
            </w:rPr>
            <w:t>1</w:t>
          </w:r>
          <w:r w:rsidR="009E7BFC">
            <w:rPr>
              <w:sz w:val="18"/>
            </w:rPr>
            <w:fldChar w:fldCharType="end"/>
          </w:r>
        </w:p>
      </w:tc>
    </w:tr>
  </w:tbl>
  <w:p w:rsidR="000B619E" w:rsidRDefault="000B619E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47"/>
      <w:gridCol w:w="3274"/>
    </w:tblGrid>
    <w:tr w:rsidR="000B619E">
      <w:tc>
        <w:tcPr>
          <w:tcW w:w="6403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0B619E" w:rsidRDefault="00F4755B">
          <w:pPr>
            <w:jc w:val="left"/>
            <w:rPr>
              <w:sz w:val="18"/>
            </w:rPr>
          </w:pPr>
          <w:r>
            <w:rPr>
              <w:sz w:val="18"/>
            </w:rPr>
            <w:t>Id: 4DB31E78-E9B4-4B71-A0E3-C9A1F6450940. Projekt</w:t>
          </w: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0B619E" w:rsidRDefault="00F4755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9E7BFC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E7BFC">
            <w:rPr>
              <w:sz w:val="18"/>
            </w:rPr>
            <w:fldChar w:fldCharType="separate"/>
          </w:r>
          <w:r w:rsidR="0055681D">
            <w:rPr>
              <w:noProof/>
              <w:sz w:val="18"/>
            </w:rPr>
            <w:t>11</w:t>
          </w:r>
          <w:r w:rsidR="009E7BFC">
            <w:rPr>
              <w:sz w:val="18"/>
            </w:rPr>
            <w:fldChar w:fldCharType="end"/>
          </w:r>
        </w:p>
      </w:tc>
    </w:tr>
  </w:tbl>
  <w:p w:rsidR="000B619E" w:rsidRDefault="000B619E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5C4" w:rsidRDefault="00EF35C4" w:rsidP="000B619E">
      <w:r>
        <w:separator/>
      </w:r>
    </w:p>
  </w:footnote>
  <w:footnote w:type="continuationSeparator" w:id="0">
    <w:p w:rsidR="00EF35C4" w:rsidRDefault="00EF35C4" w:rsidP="000B61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908C8"/>
    <w:multiLevelType w:val="hybridMultilevel"/>
    <w:tmpl w:val="00000000"/>
    <w:lvl w:ilvl="0" w:tplc="86E8FAE6">
      <w:start w:val="1"/>
      <w:numFmt w:val="decimal"/>
      <w:lvlText w:val="%1."/>
      <w:lvlJc w:val="left"/>
      <w:pPr>
        <w:ind w:left="720" w:hanging="360"/>
      </w:pPr>
    </w:lvl>
    <w:lvl w:ilvl="1" w:tplc="CEA62F68">
      <w:start w:val="1"/>
      <w:numFmt w:val="lowerLetter"/>
      <w:lvlText w:val="%2."/>
      <w:lvlJc w:val="left"/>
      <w:pPr>
        <w:ind w:left="1440" w:hanging="360"/>
      </w:pPr>
    </w:lvl>
    <w:lvl w:ilvl="2" w:tplc="EDA6AD96">
      <w:start w:val="1"/>
      <w:numFmt w:val="lowerRoman"/>
      <w:lvlText w:val="%3."/>
      <w:lvlJc w:val="right"/>
      <w:pPr>
        <w:ind w:left="2160" w:hanging="180"/>
      </w:pPr>
    </w:lvl>
    <w:lvl w:ilvl="3" w:tplc="C486CA80">
      <w:start w:val="1"/>
      <w:numFmt w:val="decimal"/>
      <w:lvlText w:val="%4."/>
      <w:lvlJc w:val="left"/>
      <w:pPr>
        <w:ind w:left="2880" w:hanging="360"/>
      </w:pPr>
    </w:lvl>
    <w:lvl w:ilvl="4" w:tplc="37E4AFC0">
      <w:start w:val="1"/>
      <w:numFmt w:val="lowerLetter"/>
      <w:lvlText w:val="%5."/>
      <w:lvlJc w:val="left"/>
      <w:pPr>
        <w:ind w:left="3600" w:hanging="360"/>
      </w:pPr>
    </w:lvl>
    <w:lvl w:ilvl="5" w:tplc="073AB18C">
      <w:start w:val="1"/>
      <w:numFmt w:val="lowerRoman"/>
      <w:lvlText w:val="%6."/>
      <w:lvlJc w:val="right"/>
      <w:pPr>
        <w:ind w:left="4320" w:hanging="180"/>
      </w:pPr>
    </w:lvl>
    <w:lvl w:ilvl="6" w:tplc="E1CA82C0">
      <w:start w:val="1"/>
      <w:numFmt w:val="decimal"/>
      <w:lvlText w:val="%7."/>
      <w:lvlJc w:val="left"/>
      <w:pPr>
        <w:ind w:left="5040" w:hanging="360"/>
      </w:pPr>
    </w:lvl>
    <w:lvl w:ilvl="7" w:tplc="8FEA7F38">
      <w:start w:val="1"/>
      <w:numFmt w:val="lowerLetter"/>
      <w:lvlText w:val="%8."/>
      <w:lvlJc w:val="left"/>
      <w:pPr>
        <w:ind w:left="5760" w:hanging="360"/>
      </w:pPr>
    </w:lvl>
    <w:lvl w:ilvl="8" w:tplc="1FF672A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D77AD2"/>
    <w:multiLevelType w:val="hybridMultilevel"/>
    <w:tmpl w:val="00000000"/>
    <w:lvl w:ilvl="0" w:tplc="A888E996">
      <w:start w:val="1"/>
      <w:numFmt w:val="decimal"/>
      <w:lvlText w:val="%1)"/>
      <w:lvlJc w:val="left"/>
      <w:pPr>
        <w:ind w:left="720" w:hanging="360"/>
      </w:pPr>
    </w:lvl>
    <w:lvl w:ilvl="1" w:tplc="BBE24084">
      <w:start w:val="1"/>
      <w:numFmt w:val="lowerLetter"/>
      <w:lvlText w:val="%2."/>
      <w:lvlJc w:val="left"/>
      <w:pPr>
        <w:ind w:left="1440" w:hanging="360"/>
      </w:pPr>
    </w:lvl>
    <w:lvl w:ilvl="2" w:tplc="5352CF06">
      <w:start w:val="1"/>
      <w:numFmt w:val="lowerRoman"/>
      <w:lvlText w:val="%3."/>
      <w:lvlJc w:val="right"/>
      <w:pPr>
        <w:ind w:left="2160" w:hanging="180"/>
      </w:pPr>
    </w:lvl>
    <w:lvl w:ilvl="3" w:tplc="A97A2826">
      <w:start w:val="1"/>
      <w:numFmt w:val="decimal"/>
      <w:lvlText w:val="%4."/>
      <w:lvlJc w:val="left"/>
      <w:pPr>
        <w:ind w:left="2880" w:hanging="360"/>
      </w:pPr>
    </w:lvl>
    <w:lvl w:ilvl="4" w:tplc="AF4201FE">
      <w:start w:val="1"/>
      <w:numFmt w:val="lowerLetter"/>
      <w:lvlText w:val="%5."/>
      <w:lvlJc w:val="left"/>
      <w:pPr>
        <w:ind w:left="3600" w:hanging="360"/>
      </w:pPr>
    </w:lvl>
    <w:lvl w:ilvl="5" w:tplc="DB7E2DB0">
      <w:start w:val="1"/>
      <w:numFmt w:val="lowerRoman"/>
      <w:lvlText w:val="%6."/>
      <w:lvlJc w:val="right"/>
      <w:pPr>
        <w:ind w:left="4320" w:hanging="180"/>
      </w:pPr>
    </w:lvl>
    <w:lvl w:ilvl="6" w:tplc="1F6E3202">
      <w:start w:val="1"/>
      <w:numFmt w:val="decimal"/>
      <w:lvlText w:val="%7."/>
      <w:lvlJc w:val="left"/>
      <w:pPr>
        <w:ind w:left="5040" w:hanging="360"/>
      </w:pPr>
    </w:lvl>
    <w:lvl w:ilvl="7" w:tplc="E0BE9B8C">
      <w:start w:val="1"/>
      <w:numFmt w:val="lowerLetter"/>
      <w:lvlText w:val="%8."/>
      <w:lvlJc w:val="left"/>
      <w:pPr>
        <w:ind w:left="5760" w:hanging="360"/>
      </w:pPr>
    </w:lvl>
    <w:lvl w:ilvl="8" w:tplc="DD2C6B9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CE5F02"/>
    <w:multiLevelType w:val="hybridMultilevel"/>
    <w:tmpl w:val="00000000"/>
    <w:lvl w:ilvl="0" w:tplc="35F2E77E">
      <w:start w:val="1"/>
      <w:numFmt w:val="lowerLetter"/>
      <w:lvlText w:val="%1)"/>
      <w:lvlJc w:val="left"/>
      <w:pPr>
        <w:ind w:left="1080" w:hanging="360"/>
      </w:pPr>
    </w:lvl>
    <w:lvl w:ilvl="1" w:tplc="8C481076">
      <w:start w:val="1"/>
      <w:numFmt w:val="lowerLetter"/>
      <w:lvlText w:val="%2."/>
      <w:lvlJc w:val="left"/>
      <w:pPr>
        <w:ind w:left="1800" w:hanging="360"/>
      </w:pPr>
    </w:lvl>
    <w:lvl w:ilvl="2" w:tplc="DBECA052">
      <w:start w:val="1"/>
      <w:numFmt w:val="lowerRoman"/>
      <w:lvlText w:val="%3."/>
      <w:lvlJc w:val="right"/>
      <w:pPr>
        <w:ind w:left="2520" w:hanging="180"/>
      </w:pPr>
    </w:lvl>
    <w:lvl w:ilvl="3" w:tplc="1AD00662">
      <w:start w:val="1"/>
      <w:numFmt w:val="decimal"/>
      <w:lvlText w:val="%4."/>
      <w:lvlJc w:val="left"/>
      <w:pPr>
        <w:ind w:left="3240" w:hanging="360"/>
      </w:pPr>
    </w:lvl>
    <w:lvl w:ilvl="4" w:tplc="59A20BBA">
      <w:start w:val="1"/>
      <w:numFmt w:val="lowerLetter"/>
      <w:lvlText w:val="%5."/>
      <w:lvlJc w:val="left"/>
      <w:pPr>
        <w:ind w:left="3960" w:hanging="360"/>
      </w:pPr>
    </w:lvl>
    <w:lvl w:ilvl="5" w:tplc="5BF2D4E2">
      <w:start w:val="1"/>
      <w:numFmt w:val="lowerRoman"/>
      <w:lvlText w:val="%6."/>
      <w:lvlJc w:val="right"/>
      <w:pPr>
        <w:ind w:left="4680" w:hanging="180"/>
      </w:pPr>
    </w:lvl>
    <w:lvl w:ilvl="6" w:tplc="66E617DE">
      <w:start w:val="1"/>
      <w:numFmt w:val="decimal"/>
      <w:lvlText w:val="%7."/>
      <w:lvlJc w:val="left"/>
      <w:pPr>
        <w:ind w:left="5400" w:hanging="360"/>
      </w:pPr>
    </w:lvl>
    <w:lvl w:ilvl="7" w:tplc="0C6CF7D0">
      <w:start w:val="1"/>
      <w:numFmt w:val="lowerLetter"/>
      <w:lvlText w:val="%8."/>
      <w:lvlJc w:val="left"/>
      <w:pPr>
        <w:ind w:left="6120" w:hanging="360"/>
      </w:pPr>
    </w:lvl>
    <w:lvl w:ilvl="8" w:tplc="A2B0CE96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B619E"/>
    <w:rsid w:val="0055681D"/>
    <w:rsid w:val="009E7BFC"/>
    <w:rsid w:val="00A77B3E"/>
    <w:rsid w:val="00BD43D7"/>
    <w:rsid w:val="00CA2A55"/>
    <w:rsid w:val="00EF35C4"/>
    <w:rsid w:val="00F47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B619E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Bezodstpw">
    <w:name w:val="No Spacing"/>
    <w:basedOn w:val="Normalny"/>
    <w:rsid w:val="000B619E"/>
    <w:pPr>
      <w:jc w:val="left"/>
    </w:pPr>
    <w:rPr>
      <w:rFonts w:ascii="Calibri" w:eastAsia="Times New Roman" w:hAnsi="Calibri" w:cs="Times New Roman"/>
      <w:sz w:val="22"/>
      <w:szCs w:val="20"/>
    </w:rPr>
  </w:style>
  <w:style w:type="paragraph" w:styleId="Akapitzlist">
    <w:name w:val="List Paragraph"/>
    <w:basedOn w:val="Normalny"/>
    <w:rsid w:val="000B619E"/>
    <w:pPr>
      <w:spacing w:after="200" w:line="276" w:lineRule="auto"/>
      <w:ind w:left="720"/>
      <w:contextualSpacing/>
      <w:jc w:val="left"/>
    </w:pPr>
    <w:rPr>
      <w:rFonts w:ascii="Times New Roman" w:eastAsia="Times New Roman" w:hAnsi="Times New Roman" w:cs="Times New Roman"/>
      <w:sz w:val="22"/>
      <w:szCs w:val="20"/>
      <w:lang w:eastAsia="en-US" w:bidi="ar-SA"/>
    </w:rPr>
  </w:style>
  <w:style w:type="paragraph" w:styleId="Tekstdymka">
    <w:name w:val="Balloon Text"/>
    <w:basedOn w:val="Normalny"/>
    <w:link w:val="TekstdymkaZnak"/>
    <w:rsid w:val="00BD43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D43D7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RUKI\9_KADEN\na%20XXVII%20sesj&#281;%20RM%20-%2030.01.2026%20r\1%20wysy&#322;ka_%203%20tygodnie%20przed%20sesj&#261;%20-%20bud&#380;et%202026\Zalacznik1.pdf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C:\DRUKI\9_KADEN\na%20XXVII%20sesj&#281;%20RM%20-%2030.01.2026%20r\1%20wysy&#322;ka_%203%20tygodnie%20przed%20sesj&#261;%20-%20bud&#380;et%202026\Zalacznik2.pdf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3260</Words>
  <Characters>19562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22777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uchwalenia Wieloletniej Prognozy Finansowej Miasta Chorzów</dc:subject>
  <dc:creator>Pietrzyk_E</dc:creator>
  <cp:lastModifiedBy>Elżbieta Pietrzyk</cp:lastModifiedBy>
  <cp:revision>2</cp:revision>
  <dcterms:created xsi:type="dcterms:W3CDTF">2026-01-29T14:04:00Z</dcterms:created>
  <dcterms:modified xsi:type="dcterms:W3CDTF">2026-01-29T14:04:00Z</dcterms:modified>
  <cp:category>Akt prawny</cp:category>
</cp:coreProperties>
</file>