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0C3314" w:rsidRDefault="00BF79A4">
      <w:pPr>
        <w:ind w:left="5669"/>
        <w:jc w:val="left"/>
        <w:rPr>
          <w:rFonts w:eastAsia="Times New Roman"/>
          <w:b/>
          <w:i/>
          <w:szCs w:val="20"/>
          <w:u w:val="thick"/>
        </w:rPr>
      </w:pPr>
      <w:r w:rsidRPr="000C3314">
        <w:rPr>
          <w:rFonts w:eastAsia="Times New Roman"/>
          <w:b/>
          <w:i/>
          <w:szCs w:val="20"/>
          <w:u w:val="thick"/>
        </w:rPr>
        <w:t>Projekt</w:t>
      </w:r>
    </w:p>
    <w:p w:rsidR="00A77B3E" w:rsidRPr="000C3314" w:rsidRDefault="005B43C9">
      <w:pPr>
        <w:ind w:left="5669"/>
        <w:jc w:val="left"/>
        <w:rPr>
          <w:rFonts w:eastAsia="Times New Roman"/>
          <w:szCs w:val="20"/>
        </w:rPr>
      </w:pPr>
      <w:r>
        <w:rPr>
          <w:rFonts w:eastAsia="Times New Roman"/>
          <w:b/>
          <w:i/>
          <w:szCs w:val="20"/>
          <w:u w:val="thick"/>
        </w:rPr>
        <w:t>Druk nr 265</w:t>
      </w:r>
    </w:p>
    <w:p w:rsidR="00A77B3E" w:rsidRPr="000C3314" w:rsidRDefault="00A77B3E">
      <w:pPr>
        <w:ind w:left="5669"/>
        <w:jc w:val="left"/>
        <w:rPr>
          <w:rFonts w:eastAsia="Times New Roman"/>
          <w:szCs w:val="20"/>
        </w:rPr>
      </w:pPr>
    </w:p>
    <w:p w:rsidR="00A77B3E" w:rsidRPr="000C3314" w:rsidRDefault="00A77B3E">
      <w:pPr>
        <w:ind w:left="5669"/>
        <w:jc w:val="left"/>
        <w:rPr>
          <w:rFonts w:eastAsia="Times New Roman"/>
          <w:szCs w:val="20"/>
        </w:rPr>
      </w:pPr>
    </w:p>
    <w:p w:rsidR="00A77B3E" w:rsidRPr="000C3314" w:rsidRDefault="00BF79A4">
      <w:pPr>
        <w:jc w:val="center"/>
        <w:rPr>
          <w:b/>
          <w:caps/>
          <w:szCs w:val="20"/>
        </w:rPr>
      </w:pPr>
      <w:r w:rsidRPr="000C3314">
        <w:rPr>
          <w:b/>
          <w:caps/>
          <w:szCs w:val="20"/>
        </w:rPr>
        <w:t>Uchwała Nr ....................</w:t>
      </w:r>
      <w:r w:rsidRPr="000C3314">
        <w:rPr>
          <w:b/>
          <w:caps/>
          <w:szCs w:val="20"/>
        </w:rPr>
        <w:br/>
        <w:t>Rady Miasta Chorzów</w:t>
      </w:r>
    </w:p>
    <w:p w:rsidR="00A77B3E" w:rsidRPr="000C3314" w:rsidRDefault="00BF79A4">
      <w:pPr>
        <w:spacing w:before="280" w:after="280"/>
        <w:jc w:val="center"/>
        <w:rPr>
          <w:b/>
          <w:caps/>
          <w:szCs w:val="20"/>
        </w:rPr>
      </w:pPr>
      <w:r w:rsidRPr="000C3314">
        <w:rPr>
          <w:szCs w:val="20"/>
        </w:rPr>
        <w:t>z dnia .................... 2025 r.</w:t>
      </w:r>
    </w:p>
    <w:p w:rsidR="00A77B3E" w:rsidRPr="000C3314" w:rsidRDefault="00BF79A4">
      <w:pPr>
        <w:keepNext/>
        <w:spacing w:after="480"/>
        <w:jc w:val="center"/>
        <w:rPr>
          <w:szCs w:val="20"/>
        </w:rPr>
      </w:pPr>
      <w:r w:rsidRPr="000C3314">
        <w:rPr>
          <w:b/>
          <w:szCs w:val="20"/>
        </w:rPr>
        <w:t>w sprawie wyboru metody ustalenia opłaty za gospodarowanie odpadami komunalnymi, ustalenia stawki tej opłaty oraz określenia stawek opłaty podwyższonej za gospodarowanie odpadami komunalnymi</w:t>
      </w:r>
    </w:p>
    <w:p w:rsidR="00A77B3E" w:rsidRPr="000C3314" w:rsidRDefault="00BF79A4">
      <w:pPr>
        <w:keepLines/>
        <w:spacing w:before="120" w:after="120"/>
        <w:ind w:firstLine="283"/>
        <w:rPr>
          <w:szCs w:val="20"/>
        </w:rPr>
      </w:pPr>
      <w:r w:rsidRPr="000C3314">
        <w:rPr>
          <w:szCs w:val="20"/>
        </w:rPr>
        <w:t>Na podstawie art.18 ust.2 pkt 8, art.40 ust.1, art.41 ust.1 i art.42 ustawy z dnia 8 marca 1990 r. o samorządzie gminnym (t.j. Dz.U. z 2024 r. poz.1465 z późn. zm.) w związku z art.6k ust.1, ust.2, ust.2a pkt 1 i pkt 5 oraz ust.3 w związku z art.6j ust.1 pkt 1 i ust.3 ustawy z dnia 13 września 1996 r. o utrzymaniu czystości i porządku w gminach (t.j. Dz.U. z 2025 r. poz.733) po przeprowadzeniu konsultacji w trybie art.5 ust.5 ustawy z dnia 24 kwietnia 2003 r. o działalności pożytku publicznego i o wolontariacie (t.j. Dz.U. z 2024 r. poz.1491 z późn. zm.)</w:t>
      </w:r>
    </w:p>
    <w:p w:rsidR="00A77B3E" w:rsidRPr="000C3314" w:rsidRDefault="00BF79A4">
      <w:pPr>
        <w:spacing w:before="120" w:after="120"/>
        <w:jc w:val="center"/>
        <w:rPr>
          <w:b/>
          <w:szCs w:val="20"/>
        </w:rPr>
      </w:pPr>
      <w:r w:rsidRPr="000C3314">
        <w:rPr>
          <w:b/>
          <w:szCs w:val="20"/>
        </w:rPr>
        <w:t>Rada Miasta Chorzów</w:t>
      </w:r>
      <w:r w:rsidRPr="000C3314">
        <w:rPr>
          <w:b/>
          <w:szCs w:val="20"/>
        </w:rPr>
        <w:br/>
        <w:t>uchwala</w:t>
      </w:r>
    </w:p>
    <w:p w:rsidR="00D57360" w:rsidRPr="000C3314" w:rsidRDefault="00BF79A4">
      <w:pPr>
        <w:keepNext/>
        <w:spacing w:before="280"/>
        <w:jc w:val="center"/>
        <w:rPr>
          <w:szCs w:val="20"/>
        </w:rPr>
      </w:pPr>
      <w:r w:rsidRPr="000C3314">
        <w:rPr>
          <w:b/>
          <w:szCs w:val="20"/>
        </w:rPr>
        <w:t>§ 1. </w:t>
      </w:r>
    </w:p>
    <w:p w:rsidR="00A77B3E" w:rsidRPr="000C3314" w:rsidRDefault="00BF79A4">
      <w:pPr>
        <w:keepLines/>
        <w:spacing w:before="120" w:after="120"/>
        <w:rPr>
          <w:szCs w:val="20"/>
        </w:rPr>
      </w:pPr>
      <w:r w:rsidRPr="000C3314">
        <w:rPr>
          <w:szCs w:val="20"/>
        </w:rPr>
        <w:t>W przypadku odbierania odpadów komunalnych od właścicieli nieruchomości, na których zamieszkują mieszkańcy, ustalenie opłaty za gospodarowanie odpadami komunalnymi dokonywane jest w zależności od liczby mieszkańców zamieszkujących daną nieruchomość.</w:t>
      </w:r>
    </w:p>
    <w:p w:rsidR="00D57360" w:rsidRPr="000C3314" w:rsidRDefault="00BF79A4">
      <w:pPr>
        <w:keepNext/>
        <w:spacing w:before="280"/>
        <w:jc w:val="center"/>
        <w:rPr>
          <w:szCs w:val="20"/>
        </w:rPr>
      </w:pPr>
      <w:r w:rsidRPr="000C3314">
        <w:rPr>
          <w:b/>
          <w:szCs w:val="20"/>
        </w:rPr>
        <w:t>§ 2. </w:t>
      </w:r>
    </w:p>
    <w:p w:rsidR="00A77B3E" w:rsidRPr="000C3314" w:rsidRDefault="00BF79A4">
      <w:pPr>
        <w:keepLines/>
        <w:spacing w:before="120" w:after="120"/>
        <w:rPr>
          <w:szCs w:val="20"/>
        </w:rPr>
      </w:pPr>
      <w:r w:rsidRPr="000C3314">
        <w:rPr>
          <w:szCs w:val="20"/>
        </w:rPr>
        <w:t>1. Ustala się stawkę opłaty za gospodarowanie odpadami komunalnymi dla właścicieli nieruchomości na których zamieszkują mieszkańcy w wysokości 39,50 zł miesięcznie za jedną osobę.</w:t>
      </w:r>
    </w:p>
    <w:p w:rsidR="00A77B3E" w:rsidRPr="000C3314" w:rsidRDefault="00BF79A4">
      <w:pPr>
        <w:keepLines/>
        <w:spacing w:before="120" w:after="120"/>
        <w:rPr>
          <w:szCs w:val="20"/>
        </w:rPr>
      </w:pPr>
      <w:r w:rsidRPr="000C3314">
        <w:rPr>
          <w:szCs w:val="20"/>
        </w:rPr>
        <w:t>2. Ustala się stawkę opłaty podwyższonej za gospodarowanie odpadami komunalnymi dla właścicieli nieruchomości, na których zamieszkują mieszkańcy, których właściciel nieruchomości nie wypełnia obowiązku zbierania odpadów komunalnych w sposób selektywny w wysokości 79,00 zł miesięcznie za jedną osobę.</w:t>
      </w:r>
    </w:p>
    <w:p w:rsidR="00D57360" w:rsidRPr="000C3314" w:rsidRDefault="00BF79A4">
      <w:pPr>
        <w:keepNext/>
        <w:spacing w:before="280"/>
        <w:jc w:val="center"/>
        <w:rPr>
          <w:szCs w:val="20"/>
        </w:rPr>
      </w:pPr>
      <w:r w:rsidRPr="000C3314">
        <w:rPr>
          <w:b/>
          <w:szCs w:val="20"/>
        </w:rPr>
        <w:t>§ 3. </w:t>
      </w:r>
    </w:p>
    <w:p w:rsidR="00A77B3E" w:rsidRPr="000C3314" w:rsidRDefault="00BF79A4">
      <w:pPr>
        <w:keepLines/>
        <w:spacing w:before="120" w:after="120"/>
        <w:rPr>
          <w:szCs w:val="20"/>
        </w:rPr>
      </w:pPr>
      <w:r w:rsidRPr="000C3314">
        <w:rPr>
          <w:szCs w:val="20"/>
        </w:rPr>
        <w:t>1. Ustala się następujące stawki opłaty za gospodarowanie odpadami komunalnymi dla właścicieli nieruchomości, na których nie zamieszkują mieszkańcy, a powstają odpady komunalne za jednorazowy odbiór odpadów z worka lub pojemnika na odpady oznaczone jako:</w:t>
      </w:r>
    </w:p>
    <w:p w:rsidR="00A77B3E" w:rsidRPr="000C3314" w:rsidRDefault="00BF79A4">
      <w:pPr>
        <w:spacing w:before="120" w:after="120"/>
        <w:rPr>
          <w:szCs w:val="20"/>
        </w:rPr>
      </w:pPr>
      <w:r w:rsidRPr="000C3314">
        <w:rPr>
          <w:szCs w:val="20"/>
        </w:rPr>
        <w:t>1) „niesegregowane (zmieszane) odpady komunalne”:</w:t>
      </w:r>
    </w:p>
    <w:p w:rsidR="00A77B3E" w:rsidRPr="000C3314" w:rsidRDefault="00BF79A4">
      <w:pPr>
        <w:keepLines/>
        <w:spacing w:before="120" w:after="120"/>
        <w:rPr>
          <w:szCs w:val="20"/>
        </w:rPr>
      </w:pPr>
      <w:r w:rsidRPr="000C3314">
        <w:rPr>
          <w:szCs w:val="20"/>
        </w:rPr>
        <w:t>a) pojemnik o pojemności 120 l w wysokości 26,40 zł,</w:t>
      </w:r>
    </w:p>
    <w:p w:rsidR="00A77B3E" w:rsidRPr="000C3314" w:rsidRDefault="00BF79A4">
      <w:pPr>
        <w:keepLines/>
        <w:spacing w:before="120" w:after="120"/>
        <w:rPr>
          <w:szCs w:val="20"/>
        </w:rPr>
      </w:pPr>
      <w:r w:rsidRPr="000C3314">
        <w:rPr>
          <w:szCs w:val="20"/>
        </w:rPr>
        <w:t>b) pojemnik o pojemności 240 l w wysokości 52,80 zł,</w:t>
      </w:r>
    </w:p>
    <w:p w:rsidR="00A77B3E" w:rsidRPr="000C3314" w:rsidRDefault="00BF79A4">
      <w:pPr>
        <w:keepLines/>
        <w:spacing w:before="120" w:after="120"/>
        <w:rPr>
          <w:szCs w:val="20"/>
        </w:rPr>
      </w:pPr>
      <w:r w:rsidRPr="000C3314">
        <w:rPr>
          <w:szCs w:val="20"/>
        </w:rPr>
        <w:t>c) pojemnik o pojemności 1100 l w wysokości 242,00 zł.</w:t>
      </w:r>
    </w:p>
    <w:p w:rsidR="00A77B3E" w:rsidRPr="000C3314" w:rsidRDefault="00BF79A4">
      <w:pPr>
        <w:spacing w:before="120" w:after="120"/>
        <w:rPr>
          <w:szCs w:val="20"/>
        </w:rPr>
      </w:pPr>
      <w:r w:rsidRPr="000C3314">
        <w:rPr>
          <w:szCs w:val="20"/>
        </w:rPr>
        <w:t>2) „metale, tworzywa sztuczne i odpady opakowaniowe wielomateriałowe, papier, szkło, bioodpady stanowiące odpady komunalne”:</w:t>
      </w:r>
    </w:p>
    <w:p w:rsidR="00A77B3E" w:rsidRPr="000C3314" w:rsidRDefault="00BF79A4">
      <w:pPr>
        <w:keepLines/>
        <w:spacing w:before="120" w:after="120"/>
        <w:rPr>
          <w:szCs w:val="20"/>
        </w:rPr>
      </w:pPr>
      <w:r w:rsidRPr="000C3314">
        <w:rPr>
          <w:szCs w:val="20"/>
        </w:rPr>
        <w:t>a) worek o pojemności 120 l w wysokości 26,40 zł.</w:t>
      </w:r>
    </w:p>
    <w:p w:rsidR="00A77B3E" w:rsidRPr="000C3314" w:rsidRDefault="00BF79A4">
      <w:pPr>
        <w:keepLines/>
        <w:spacing w:before="120" w:after="120"/>
        <w:rPr>
          <w:szCs w:val="20"/>
        </w:rPr>
      </w:pPr>
      <w:r w:rsidRPr="000C3314">
        <w:rPr>
          <w:szCs w:val="20"/>
        </w:rPr>
        <w:t>b) pojemnik o pojemności 60 l w wysokości 13,20 zł,</w:t>
      </w:r>
    </w:p>
    <w:p w:rsidR="00A77B3E" w:rsidRPr="000C3314" w:rsidRDefault="00BF79A4">
      <w:pPr>
        <w:keepLines/>
        <w:spacing w:before="120" w:after="120"/>
        <w:rPr>
          <w:szCs w:val="20"/>
        </w:rPr>
      </w:pPr>
      <w:r w:rsidRPr="000C3314">
        <w:rPr>
          <w:szCs w:val="20"/>
        </w:rPr>
        <w:t>c) pojemnik o pojemności 120 l w wysokości 26,40 zł,</w:t>
      </w:r>
    </w:p>
    <w:p w:rsidR="00A77B3E" w:rsidRPr="000C3314" w:rsidRDefault="00BF79A4">
      <w:pPr>
        <w:keepLines/>
        <w:spacing w:before="120" w:after="120"/>
        <w:rPr>
          <w:szCs w:val="20"/>
        </w:rPr>
      </w:pPr>
      <w:r w:rsidRPr="000C3314">
        <w:rPr>
          <w:szCs w:val="20"/>
        </w:rPr>
        <w:t>d) pojemnik o pojemności 240 l w wysokości 52,80 zł,</w:t>
      </w:r>
    </w:p>
    <w:p w:rsidR="00A77B3E" w:rsidRPr="000C3314" w:rsidRDefault="00BF79A4">
      <w:pPr>
        <w:keepLines/>
        <w:spacing w:before="120" w:after="120"/>
        <w:rPr>
          <w:szCs w:val="20"/>
        </w:rPr>
      </w:pPr>
      <w:r w:rsidRPr="000C3314">
        <w:rPr>
          <w:szCs w:val="20"/>
        </w:rPr>
        <w:t>e) pojemnik o pojemności 360 l w wysokości 79,20 zł,</w:t>
      </w:r>
    </w:p>
    <w:p w:rsidR="00A77B3E" w:rsidRPr="000C3314" w:rsidRDefault="00BF79A4">
      <w:pPr>
        <w:keepLines/>
        <w:spacing w:before="120" w:after="120"/>
        <w:rPr>
          <w:szCs w:val="20"/>
        </w:rPr>
      </w:pPr>
      <w:r w:rsidRPr="000C3314">
        <w:rPr>
          <w:szCs w:val="20"/>
        </w:rPr>
        <w:lastRenderedPageBreak/>
        <w:t>f) pojemnik o pojemności 1100 l w wysokości 242,00 zł.</w:t>
      </w:r>
    </w:p>
    <w:p w:rsidR="00A77B3E" w:rsidRPr="000C3314" w:rsidRDefault="00BF79A4">
      <w:pPr>
        <w:keepLines/>
        <w:spacing w:before="120" w:after="120"/>
        <w:rPr>
          <w:szCs w:val="20"/>
        </w:rPr>
      </w:pPr>
      <w:r w:rsidRPr="000C3314">
        <w:rPr>
          <w:szCs w:val="20"/>
        </w:rPr>
        <w:t>2. Ustala się następujące stawki opłaty podwyższonej za gospodarowanie odpadami komunalnymi dla właścicieli nieruchomości, na których nie zamieszkują mieszkańcy, a powstają odpady komunalne, których właściciel nie wypełnia obowiązku zbierania odpadów komunalnych w sposób selektywny, za jednorazowy odbiór odpadów z worka lub pojemnika na odpady oznaczone jako:</w:t>
      </w:r>
    </w:p>
    <w:p w:rsidR="00A77B3E" w:rsidRPr="000C3314" w:rsidRDefault="00BF79A4">
      <w:pPr>
        <w:spacing w:before="120" w:after="120"/>
        <w:rPr>
          <w:szCs w:val="20"/>
        </w:rPr>
      </w:pPr>
      <w:r w:rsidRPr="000C3314">
        <w:rPr>
          <w:szCs w:val="20"/>
        </w:rPr>
        <w:t>1) „niesegregowane (zmieszane) odpady komunalne”:</w:t>
      </w:r>
    </w:p>
    <w:p w:rsidR="00A77B3E" w:rsidRPr="000C3314" w:rsidRDefault="00BF79A4">
      <w:pPr>
        <w:keepLines/>
        <w:spacing w:before="120" w:after="120"/>
        <w:rPr>
          <w:szCs w:val="20"/>
        </w:rPr>
      </w:pPr>
      <w:r w:rsidRPr="000C3314">
        <w:rPr>
          <w:szCs w:val="20"/>
        </w:rPr>
        <w:t>a) pojemnik o pojemności 120 l w wysokości 52,80 zł,</w:t>
      </w:r>
    </w:p>
    <w:p w:rsidR="00A77B3E" w:rsidRPr="000C3314" w:rsidRDefault="00BF79A4">
      <w:pPr>
        <w:keepLines/>
        <w:spacing w:before="120" w:after="120"/>
        <w:rPr>
          <w:szCs w:val="20"/>
        </w:rPr>
      </w:pPr>
      <w:r w:rsidRPr="000C3314">
        <w:rPr>
          <w:szCs w:val="20"/>
        </w:rPr>
        <w:t>b) pojemnik o pojemności 240 l w wysokości 105,60 zł,</w:t>
      </w:r>
    </w:p>
    <w:p w:rsidR="00A77B3E" w:rsidRPr="000C3314" w:rsidRDefault="00BF79A4">
      <w:pPr>
        <w:keepLines/>
        <w:spacing w:before="120" w:after="120"/>
        <w:rPr>
          <w:szCs w:val="20"/>
        </w:rPr>
      </w:pPr>
      <w:r w:rsidRPr="000C3314">
        <w:rPr>
          <w:szCs w:val="20"/>
        </w:rPr>
        <w:t>c) pojemnik o pojemności 1100 l w wysokości 484,00 zł.</w:t>
      </w:r>
    </w:p>
    <w:p w:rsidR="00A77B3E" w:rsidRPr="000C3314" w:rsidRDefault="00BF79A4">
      <w:pPr>
        <w:spacing w:before="120" w:after="120"/>
        <w:rPr>
          <w:szCs w:val="20"/>
        </w:rPr>
      </w:pPr>
      <w:r w:rsidRPr="000C3314">
        <w:rPr>
          <w:szCs w:val="20"/>
        </w:rPr>
        <w:t>2) „metale, tworzywa sztuczne i odpady opakowaniowe wielomateriałowe, papier, szkło, bioodpady stanowiące odpady komunalne”:</w:t>
      </w:r>
    </w:p>
    <w:p w:rsidR="00A77B3E" w:rsidRPr="000C3314" w:rsidRDefault="00BF79A4">
      <w:pPr>
        <w:keepLines/>
        <w:spacing w:before="120" w:after="120"/>
        <w:rPr>
          <w:szCs w:val="20"/>
        </w:rPr>
      </w:pPr>
      <w:r w:rsidRPr="000C3314">
        <w:rPr>
          <w:szCs w:val="20"/>
        </w:rPr>
        <w:t>a) worek o pojemności 120 l w wysokości 52,80 zł,</w:t>
      </w:r>
    </w:p>
    <w:p w:rsidR="00A77B3E" w:rsidRPr="000C3314" w:rsidRDefault="00BF79A4">
      <w:pPr>
        <w:keepLines/>
        <w:spacing w:before="120" w:after="120"/>
        <w:rPr>
          <w:szCs w:val="20"/>
        </w:rPr>
      </w:pPr>
      <w:r w:rsidRPr="000C3314">
        <w:rPr>
          <w:szCs w:val="20"/>
        </w:rPr>
        <w:t>b) pojemnik o pojemności 60 l w wysokości 26,40 zł,</w:t>
      </w:r>
    </w:p>
    <w:p w:rsidR="00A77B3E" w:rsidRPr="000C3314" w:rsidRDefault="00BF79A4">
      <w:pPr>
        <w:keepLines/>
        <w:spacing w:before="120" w:after="120"/>
        <w:rPr>
          <w:szCs w:val="20"/>
        </w:rPr>
      </w:pPr>
      <w:r w:rsidRPr="000C3314">
        <w:rPr>
          <w:szCs w:val="20"/>
        </w:rPr>
        <w:t>c) pojemnik o pojemności 120 l w wysokości 52,80 zł,</w:t>
      </w:r>
    </w:p>
    <w:p w:rsidR="00A77B3E" w:rsidRPr="000C3314" w:rsidRDefault="00BF79A4">
      <w:pPr>
        <w:keepLines/>
        <w:spacing w:before="120" w:after="120"/>
        <w:rPr>
          <w:szCs w:val="20"/>
        </w:rPr>
      </w:pPr>
      <w:r w:rsidRPr="000C3314">
        <w:rPr>
          <w:szCs w:val="20"/>
        </w:rPr>
        <w:t>d) pojemnik o pojemności 240 l w wysokości 105,60 zł,</w:t>
      </w:r>
    </w:p>
    <w:p w:rsidR="00A77B3E" w:rsidRPr="000C3314" w:rsidRDefault="00BF79A4">
      <w:pPr>
        <w:keepLines/>
        <w:spacing w:before="120" w:after="120"/>
        <w:rPr>
          <w:szCs w:val="20"/>
        </w:rPr>
      </w:pPr>
      <w:r w:rsidRPr="000C3314">
        <w:rPr>
          <w:szCs w:val="20"/>
        </w:rPr>
        <w:t>e) pojemnik o pojemności 360 l w wysokości 158,40 zł,</w:t>
      </w:r>
    </w:p>
    <w:p w:rsidR="00A77B3E" w:rsidRPr="000C3314" w:rsidRDefault="00BF79A4">
      <w:pPr>
        <w:keepLines/>
        <w:spacing w:before="120" w:after="120"/>
        <w:rPr>
          <w:szCs w:val="20"/>
        </w:rPr>
      </w:pPr>
      <w:r w:rsidRPr="000C3314">
        <w:rPr>
          <w:szCs w:val="20"/>
        </w:rPr>
        <w:t>f) pojemnik o pojemności 1100 l w wysokości 484,00 zł.</w:t>
      </w:r>
    </w:p>
    <w:p w:rsidR="00D57360" w:rsidRPr="000C3314" w:rsidRDefault="00BF79A4">
      <w:pPr>
        <w:keepNext/>
        <w:spacing w:before="280"/>
        <w:jc w:val="center"/>
        <w:rPr>
          <w:szCs w:val="20"/>
        </w:rPr>
      </w:pPr>
      <w:r w:rsidRPr="000C3314">
        <w:rPr>
          <w:b/>
          <w:szCs w:val="20"/>
        </w:rPr>
        <w:t>§ 4. </w:t>
      </w:r>
    </w:p>
    <w:p w:rsidR="00A77B3E" w:rsidRPr="000C3314" w:rsidRDefault="00BF79A4">
      <w:pPr>
        <w:keepLines/>
        <w:spacing w:before="120" w:after="120"/>
        <w:rPr>
          <w:szCs w:val="20"/>
        </w:rPr>
      </w:pPr>
      <w:r w:rsidRPr="000C3314">
        <w:rPr>
          <w:szCs w:val="20"/>
        </w:rPr>
        <w:t>1. Miesięczna opłata za gospodarowanie odpadami komunalnymi dla właścicieli nieruchomości, na których zamieszkują mieszkańcy stanowi iloczyn liczby mieszkańców zamieszkujących daną nieruchomość oraz stawki opłaty określonej w § 2 ust.1 lub w § 2 ust.2.</w:t>
      </w:r>
    </w:p>
    <w:p w:rsidR="00A77B3E" w:rsidRPr="000C3314" w:rsidRDefault="00BF79A4">
      <w:pPr>
        <w:keepLines/>
        <w:spacing w:before="120" w:after="120"/>
        <w:rPr>
          <w:szCs w:val="20"/>
        </w:rPr>
      </w:pPr>
      <w:r w:rsidRPr="000C3314">
        <w:rPr>
          <w:szCs w:val="20"/>
        </w:rPr>
        <w:t>2. Miesięczna opłata za gospodarowanie odpadami komunalnymi dla właścicieli nieruchomości, na których nie zamieszkują mieszkańcy, a powstają odpady komunalne stanowi iloczyn stawki opłaty określonej w § 3 ust.1 lub w § 3 ust.2, liczby pojemników lub worków z odpadami komunalnymi powstającymi na danej nieruchomości, o określonej pojemności i częstotliwości ich wywozu.</w:t>
      </w:r>
    </w:p>
    <w:p w:rsidR="00A77B3E" w:rsidRPr="000C3314" w:rsidRDefault="00BF79A4">
      <w:pPr>
        <w:keepLines/>
        <w:spacing w:before="120" w:after="120"/>
        <w:rPr>
          <w:szCs w:val="20"/>
        </w:rPr>
      </w:pPr>
      <w:r w:rsidRPr="000C3314">
        <w:rPr>
          <w:szCs w:val="20"/>
        </w:rPr>
        <w:t>3. Miesięczna opłata za gospodarowanie odpadami komunalnymi dla właścicieli nieruchomości, które w części stanowią nieruchomość, na której zamieszkują mieszkańcy, a w części nieruchomość, na której nie zamieszkują mieszkańcy, a powstają odpady komunalne stanowi:</w:t>
      </w:r>
    </w:p>
    <w:p w:rsidR="00A77B3E" w:rsidRPr="000C3314" w:rsidRDefault="00BF79A4">
      <w:pPr>
        <w:spacing w:before="120" w:after="120"/>
        <w:rPr>
          <w:szCs w:val="20"/>
        </w:rPr>
      </w:pPr>
      <w:r w:rsidRPr="000C3314">
        <w:rPr>
          <w:szCs w:val="20"/>
        </w:rPr>
        <w:t>1) sumę iloczynu liczby mieszkańców, stawki opłaty określonej w § 2 ust.1 oraz iloczynu stawki opłaty określonej w § 3 ust.1, liczby pojemników lub worków z odpadami komunalnymi powstającymi na danej nieruchomości o określonej pojemności i częstotliwości ich wywozu lub</w:t>
      </w:r>
    </w:p>
    <w:p w:rsidR="00A77B3E" w:rsidRPr="000C3314" w:rsidRDefault="00BF79A4">
      <w:pPr>
        <w:spacing w:before="120" w:after="120"/>
        <w:rPr>
          <w:szCs w:val="20"/>
        </w:rPr>
      </w:pPr>
      <w:r w:rsidRPr="000C3314">
        <w:rPr>
          <w:szCs w:val="20"/>
        </w:rPr>
        <w:t>2) sumę iloczynu liczby mieszkańców, stawki opłaty określonej w § 2 ust.2 oraz iloczynu stawki opłaty określonej w § 3 ust.2, liczby pojemników lub worków z odpadami komunalnymi powstającymi na danej nieruchomości o określonej pojemności i częstotliwości ich wywozu.</w:t>
      </w:r>
    </w:p>
    <w:p w:rsidR="00D57360" w:rsidRPr="000C3314" w:rsidRDefault="00BF79A4">
      <w:pPr>
        <w:keepNext/>
        <w:spacing w:before="280"/>
        <w:jc w:val="center"/>
        <w:rPr>
          <w:szCs w:val="20"/>
        </w:rPr>
      </w:pPr>
      <w:r w:rsidRPr="000C3314">
        <w:rPr>
          <w:b/>
          <w:szCs w:val="20"/>
        </w:rPr>
        <w:t>§ 5. </w:t>
      </w:r>
    </w:p>
    <w:p w:rsidR="00A77B3E" w:rsidRPr="000C3314" w:rsidRDefault="00BF79A4">
      <w:pPr>
        <w:keepLines/>
        <w:spacing w:before="120" w:after="120"/>
        <w:rPr>
          <w:szCs w:val="20"/>
        </w:rPr>
      </w:pPr>
      <w:r w:rsidRPr="000C3314">
        <w:rPr>
          <w:szCs w:val="20"/>
        </w:rPr>
        <w:t>Wykonanie uchwały powierza się Prezydentowi Miasta Chorzów.</w:t>
      </w:r>
    </w:p>
    <w:p w:rsidR="00D57360" w:rsidRPr="000C3314" w:rsidRDefault="00BF79A4">
      <w:pPr>
        <w:keepNext/>
        <w:spacing w:before="280"/>
        <w:jc w:val="center"/>
        <w:rPr>
          <w:szCs w:val="20"/>
        </w:rPr>
      </w:pPr>
      <w:r w:rsidRPr="000C3314">
        <w:rPr>
          <w:b/>
          <w:szCs w:val="20"/>
        </w:rPr>
        <w:t>§ 6. </w:t>
      </w:r>
    </w:p>
    <w:p w:rsidR="00A77B3E" w:rsidRPr="000C3314" w:rsidRDefault="00BF79A4">
      <w:pPr>
        <w:keepLines/>
        <w:spacing w:before="120" w:after="120"/>
        <w:rPr>
          <w:szCs w:val="20"/>
        </w:rPr>
      </w:pPr>
      <w:r w:rsidRPr="000C3314">
        <w:rPr>
          <w:szCs w:val="20"/>
        </w:rPr>
        <w:t>Z dniem wejścia w życie niniejszej uchwały traci moc uchwała Nr XII/128/2025 Rady Miasta Chorzów z dnia 30 stycznia 2025 r. w sprawie wyboru metody ustalenia opłaty za gospodarowanie odpadami komunalnymi, ustalenia stawki tej opłaty oraz określenia stawek opłaty podwyższonej za gospodarowanie odpadami komunalnymi (Dz. Urz. Woj. Śl. z dnia 10 lutego 2025 r., poz.975).</w:t>
      </w:r>
    </w:p>
    <w:p w:rsidR="00D57360" w:rsidRPr="000C3314" w:rsidRDefault="00BF79A4">
      <w:pPr>
        <w:keepNext/>
        <w:spacing w:before="280"/>
        <w:jc w:val="center"/>
        <w:rPr>
          <w:szCs w:val="20"/>
        </w:rPr>
      </w:pPr>
      <w:r w:rsidRPr="000C3314">
        <w:rPr>
          <w:b/>
          <w:szCs w:val="20"/>
        </w:rPr>
        <w:t>§ 7. </w:t>
      </w:r>
    </w:p>
    <w:p w:rsidR="00A77B3E" w:rsidRPr="000C3314" w:rsidRDefault="00BF79A4">
      <w:pPr>
        <w:keepLines/>
        <w:spacing w:before="120" w:after="120"/>
        <w:rPr>
          <w:szCs w:val="20"/>
        </w:rPr>
      </w:pPr>
      <w:r w:rsidRPr="000C3314">
        <w:rPr>
          <w:szCs w:val="20"/>
        </w:rPr>
        <w:t>Uchwała wchodzi w życie po opublikowaniu w Dzienniku Urzędowym Województwa Śląskiego z mocą obowiązującą od dnia 1 listopada 2025 r.</w:t>
      </w:r>
    </w:p>
    <w:p w:rsidR="000C3314" w:rsidRPr="000C3314" w:rsidRDefault="000C3314">
      <w:pPr>
        <w:keepLines/>
        <w:spacing w:before="120" w:after="120"/>
        <w:rPr>
          <w:szCs w:val="20"/>
        </w:rPr>
      </w:pPr>
      <w:r w:rsidRPr="000C3314">
        <w:rPr>
          <w:b/>
          <w:i/>
          <w:szCs w:val="20"/>
        </w:rPr>
        <w:t>RADCA PRAWNY</w:t>
      </w:r>
      <w:r w:rsidR="005B43C9">
        <w:rPr>
          <w:b/>
          <w:i/>
          <w:szCs w:val="20"/>
        </w:rPr>
        <w:t xml:space="preserve"> </w:t>
      </w:r>
      <w:r w:rsidRPr="000C3314">
        <w:rPr>
          <w:b/>
          <w:i/>
          <w:szCs w:val="20"/>
        </w:rPr>
        <w:t>/-/ Jarosław Haberka</w:t>
      </w:r>
    </w:p>
    <w:p w:rsidR="000C3314" w:rsidRPr="000C3314" w:rsidRDefault="000C3314">
      <w:pPr>
        <w:keepLines/>
        <w:spacing w:before="120" w:after="120"/>
        <w:rPr>
          <w:szCs w:val="20"/>
        </w:rPr>
        <w:sectPr w:rsidR="000C3314" w:rsidRPr="000C3314">
          <w:footerReference w:type="default" r:id="rId6"/>
          <w:endnotePr>
            <w:numFmt w:val="decimal"/>
          </w:endnotePr>
          <w:pgSz w:w="11906" w:h="16838"/>
          <w:pgMar w:top="1417" w:right="1417" w:bottom="1417" w:left="1417" w:header="708" w:footer="708" w:gutter="0"/>
          <w:cols w:space="708"/>
          <w:docGrid w:linePitch="360"/>
        </w:sectPr>
      </w:pPr>
    </w:p>
    <w:p w:rsidR="00D57360" w:rsidRPr="000C3314" w:rsidRDefault="00D57360">
      <w:pPr>
        <w:rPr>
          <w:rFonts w:eastAsia="Times New Roman"/>
          <w:szCs w:val="20"/>
        </w:rPr>
      </w:pPr>
    </w:p>
    <w:p w:rsidR="00D57360" w:rsidRPr="000C3314" w:rsidRDefault="00BF79A4">
      <w:pPr>
        <w:jc w:val="center"/>
        <w:rPr>
          <w:rFonts w:eastAsia="Times New Roman"/>
          <w:szCs w:val="20"/>
        </w:rPr>
      </w:pPr>
      <w:r w:rsidRPr="000C3314">
        <w:rPr>
          <w:rFonts w:eastAsia="Times New Roman"/>
          <w:b/>
          <w:szCs w:val="20"/>
        </w:rPr>
        <w:t>Uzasadnienie</w:t>
      </w:r>
    </w:p>
    <w:p w:rsidR="00D57360" w:rsidRPr="000C3314" w:rsidRDefault="00BF79A4">
      <w:pPr>
        <w:spacing w:before="120" w:after="120"/>
        <w:rPr>
          <w:rFonts w:eastAsia="Times New Roman"/>
          <w:szCs w:val="20"/>
        </w:rPr>
      </w:pPr>
      <w:r w:rsidRPr="000C3314">
        <w:rPr>
          <w:rFonts w:eastAsia="Times New Roman"/>
          <w:szCs w:val="20"/>
        </w:rPr>
        <w:t>W myśl art. 6k ustawy z dnia 13 września 1996r. o utrzymaniu czystości i porządku w gminach – dalej ucpg, Rada gminy zobowiązana jest w drodze uchwały dokonać wyboru metody ustalenia opłaty za gospodarowanie odpadami komunalnymi spośród metod określonych w art. 6j ust. 1 i 2 oraz ustalić stawkę takiej opłaty. Zgodnie z art. 6k ust. 2 ustawy ucpg Rada gminy, określając stawki opłaty za gospodarowanie odpadami komunalnymi, bierze pod uwagę liczbę mieszkańców zamieszkujących daną gminę, ilość wytwarzanych na terenie gminy odpadów komunalnych, koszty funkcjonowania systemu gospodarowania odpadami komunalnymi, o których mowa w art. 6r ust. 2-2b i 2d oraz przypadki, w których właściciele nieruchomości wytwarzają odpady nieregularnie, w szczególności to, że na niektórych nieruchomościach odpady komunalne powstają sezonowo. Natomiast zgodnie z art. 6r ust. 1aa ucpg środki z opłaty za gospodarowanie odpadami komunalnymi nie mogą być wykorzystane na cele niezwiązane z pokrywaniem kosztów funkcjonowania systemu gospodarowania odpadami komunalnymi.</w:t>
      </w:r>
    </w:p>
    <w:p w:rsidR="00D57360" w:rsidRPr="000C3314" w:rsidRDefault="00BF79A4">
      <w:pPr>
        <w:spacing w:before="120" w:after="120"/>
        <w:rPr>
          <w:rFonts w:eastAsia="Times New Roman"/>
          <w:szCs w:val="20"/>
        </w:rPr>
      </w:pPr>
      <w:r w:rsidRPr="000C3314">
        <w:rPr>
          <w:rFonts w:eastAsia="Times New Roman"/>
          <w:szCs w:val="20"/>
        </w:rPr>
        <w:t>Z pobranych opłat za gospodarowanie odpadami komunalnymi zgodnie z w/cyt. art. 6r, gmina pokrywa koszty funkcjonowania systemu gospodarowania odpadami komunalnymi, które obejmują koszty: odbierania, transportu, zbierania, odzysku i unieszkodliwiania odpadów komunalnych, tworzenia i utrzymania punktów selektywnego zbierania ich, obsługi administracyjnej tego systemu, edukacji ekologicznej w zakresie prawidłowego postępowania z odpadami komunalnymi. Z pobranych opłat za gospodarowanie odpadami komunalnymi gmina może pokryć koszty wyposażenia nieruchomości w pojemniki lub worki do zbierania odpadów komunalnych oraz koszty utrzymywania pojemników w odpowiednim stanie sanitarnym, porządkowym i technicznym, koszty usunięcia odpadów komunalnych z miejsc nieprzeznaczonych do ich składowania i magazynowania w rozumieniu ustawy z dnia 14 grudnia 2012r. o odpadach (powyższe reguluje art. 6r ust. 2-2b ucpg).</w:t>
      </w:r>
    </w:p>
    <w:p w:rsidR="00D57360" w:rsidRPr="000C3314" w:rsidRDefault="00BF79A4">
      <w:pPr>
        <w:spacing w:before="120" w:after="120"/>
        <w:rPr>
          <w:rFonts w:eastAsia="Times New Roman"/>
          <w:szCs w:val="20"/>
        </w:rPr>
      </w:pPr>
      <w:r w:rsidRPr="000C3314">
        <w:rPr>
          <w:rFonts w:eastAsia="Times New Roman"/>
          <w:szCs w:val="20"/>
        </w:rPr>
        <w:t>W ramach zaplanowanych dochodów z tytułu opłaty za gospodarowanie odpadami komunalnymi na 2025r. przewiduje się dochód w wysokości 41 859 524,16 zł. Z czego 89% z kwoty 41 859 524,16 zł stanowi dochód od mieszkańców, natomiast 11 % tej kwoty stanowi dochód z niezamieszkałych części nieruchomości, na których powstają odpady komunalne.</w:t>
      </w:r>
    </w:p>
    <w:p w:rsidR="00D57360" w:rsidRPr="000C3314" w:rsidRDefault="00BF79A4">
      <w:pPr>
        <w:spacing w:before="120" w:after="120"/>
        <w:rPr>
          <w:rFonts w:eastAsia="Times New Roman"/>
          <w:szCs w:val="20"/>
        </w:rPr>
      </w:pPr>
      <w:r w:rsidRPr="000C3314">
        <w:rPr>
          <w:rFonts w:eastAsia="Times New Roman"/>
          <w:szCs w:val="20"/>
        </w:rPr>
        <w:t>Przewidywane wydatki na 2025 r. dotyczące systemu gospodarowania odpadami komunalnymi kształtują się na poziomie 48 743 610,49 zł. Po analizie bieżących kosztów deficyt wyniesie – 6 126 836,83 zł.</w:t>
      </w:r>
    </w:p>
    <w:p w:rsidR="00D57360" w:rsidRPr="000C3314" w:rsidRDefault="00BF79A4">
      <w:pPr>
        <w:spacing w:before="120" w:after="120"/>
        <w:rPr>
          <w:rFonts w:eastAsia="Times New Roman"/>
          <w:szCs w:val="20"/>
        </w:rPr>
      </w:pPr>
      <w:r w:rsidRPr="000C3314">
        <w:rPr>
          <w:rFonts w:eastAsia="Times New Roman"/>
          <w:szCs w:val="20"/>
        </w:rPr>
        <w:t>Wobec powyższego dotychczasowe stawki opłat za gospodarowanie odpadami komunalnymi są niewystarczające do pokrycia i zbilansowania obecnych kosztów funkcjonowania systemu gospodarki odpadami komunalnymi.</w:t>
      </w:r>
    </w:p>
    <w:p w:rsidR="00D57360" w:rsidRPr="000C3314" w:rsidRDefault="00BF79A4">
      <w:pPr>
        <w:spacing w:before="120" w:after="120"/>
        <w:rPr>
          <w:rFonts w:eastAsia="Times New Roman"/>
          <w:szCs w:val="20"/>
        </w:rPr>
      </w:pPr>
      <w:r w:rsidRPr="000C3314">
        <w:rPr>
          <w:rFonts w:eastAsia="Times New Roman"/>
          <w:szCs w:val="20"/>
        </w:rPr>
        <w:t>Odbiór odpadów w okresie od stycznia do maja 2025 odbywał się zgodnie z prawem opcji i w trybie zamówienia z wolnej ręki. Cena w trakcie realizacji  wymienionych zamówień nie uległa zmianie.</w:t>
      </w:r>
    </w:p>
    <w:p w:rsidR="00D57360" w:rsidRPr="000C3314" w:rsidRDefault="00BF79A4">
      <w:pPr>
        <w:spacing w:before="120" w:after="120"/>
        <w:rPr>
          <w:rFonts w:eastAsia="Times New Roman"/>
          <w:szCs w:val="20"/>
        </w:rPr>
      </w:pPr>
      <w:r w:rsidRPr="000C3314">
        <w:rPr>
          <w:rFonts w:eastAsia="Times New Roman"/>
          <w:szCs w:val="20"/>
        </w:rPr>
        <w:t>Proponowana kwota stawek wynika bezpośrednio z wszystkich wymienionych uwarunkowań. Roczny koszt systemu gospodarowania odpadami komunalnymi obejmuje:</w:t>
      </w:r>
    </w:p>
    <w:p w:rsidR="00D57360" w:rsidRPr="000C3314" w:rsidRDefault="00BF79A4">
      <w:pPr>
        <w:spacing w:before="120" w:after="120"/>
        <w:rPr>
          <w:rFonts w:eastAsia="Times New Roman"/>
          <w:szCs w:val="20"/>
        </w:rPr>
      </w:pPr>
      <w:r w:rsidRPr="000C3314">
        <w:rPr>
          <w:rFonts w:eastAsia="Times New Roman"/>
          <w:szCs w:val="20"/>
        </w:rPr>
        <w:t>- odbiór, zagospodarowanie odpadów komunalnych wraz z organizacją i prowadzeniem Gminnych Punktów Zbierania Odpadów (PSZOK), wyposażeniem nieruchomości w pojemniki i worki do gromadzenia odpadów – 45 310 466,32 zł brutto, (wskazana kwota obejmuje koszty, które poniosła gmina w związku z rozliczeniem umowy, która obowiązywała do dnia 31.03.2025 (skorzystano z prawa opcji), realizację zamówienia z wolnej ręki oraz szacowaną kwotę, którą będzie musiała ponieść gmina w związku z realizacją nowej umowy, która jest realizowana od 1 czerwca 2025), w tej kwocie uwzględniono również deficyt w wysokości 598 247,17 zł według stanu na dzień 31.12.2024 r.,</w:t>
      </w:r>
    </w:p>
    <w:p w:rsidR="00D57360" w:rsidRPr="000C3314" w:rsidRDefault="00BF79A4">
      <w:pPr>
        <w:spacing w:before="120" w:after="120"/>
        <w:rPr>
          <w:rFonts w:eastAsia="Times New Roman"/>
          <w:szCs w:val="20"/>
        </w:rPr>
      </w:pPr>
      <w:r w:rsidRPr="000C3314">
        <w:rPr>
          <w:rFonts w:eastAsia="Times New Roman"/>
          <w:szCs w:val="20"/>
        </w:rPr>
        <w:t>- kampania informacyjno-edukacyjna – 281 000 zł,</w:t>
      </w:r>
    </w:p>
    <w:p w:rsidR="00D57360" w:rsidRPr="000C3314" w:rsidRDefault="00BF79A4">
      <w:pPr>
        <w:spacing w:before="120" w:after="120"/>
        <w:rPr>
          <w:rFonts w:eastAsia="Times New Roman"/>
          <w:szCs w:val="20"/>
        </w:rPr>
      </w:pPr>
      <w:r w:rsidRPr="000C3314">
        <w:rPr>
          <w:rFonts w:eastAsia="Times New Roman"/>
          <w:szCs w:val="20"/>
        </w:rPr>
        <w:t>- obsługa administracyjna systemu – 2 303897,09 zł (kwota obejmuje wynagrodzenia pracowników zajmujących się realizacją zadań związanych z realizacją usługi odbioru i zagospodarowania odpadów komunalnych, finansuje działalność Ekopatrolu oraz funkcjonowanie systemów teleinformatycznych niezbędnych do realizacji zadań realizowanych przez gminę w ramach systemu gospodarowania odpadami komunalnymi),</w:t>
      </w:r>
    </w:p>
    <w:p w:rsidR="00D57360" w:rsidRPr="000C3314" w:rsidRDefault="00BF79A4">
      <w:pPr>
        <w:spacing w:before="120" w:after="120"/>
        <w:rPr>
          <w:rFonts w:eastAsia="Times New Roman"/>
          <w:szCs w:val="20"/>
        </w:rPr>
      </w:pPr>
      <w:r w:rsidRPr="000C3314">
        <w:rPr>
          <w:rFonts w:eastAsia="Times New Roman"/>
          <w:szCs w:val="20"/>
        </w:rPr>
        <w:t>- koszty usunięcia odpadów komunalnych z miejsc nieprzeznaczonych do ich składowania i magazynowania: 250 000,00 zł.</w:t>
      </w:r>
    </w:p>
    <w:p w:rsidR="00D57360" w:rsidRPr="000C3314" w:rsidRDefault="00BF79A4">
      <w:pPr>
        <w:spacing w:before="120" w:after="120"/>
        <w:rPr>
          <w:rFonts w:eastAsia="Times New Roman"/>
          <w:szCs w:val="20"/>
        </w:rPr>
      </w:pPr>
      <w:r w:rsidRPr="000C3314">
        <w:rPr>
          <w:rFonts w:eastAsia="Times New Roman"/>
          <w:szCs w:val="20"/>
        </w:rPr>
        <w:t>Łącznie koszt roczny systemu gospodarowania odpadami komunalnymi wynosi: 48 743 610,49 zł.</w:t>
      </w:r>
    </w:p>
    <w:p w:rsidR="00D57360" w:rsidRPr="000C3314" w:rsidRDefault="00BF79A4">
      <w:pPr>
        <w:spacing w:before="120" w:after="120"/>
        <w:rPr>
          <w:rFonts w:eastAsia="Times New Roman"/>
          <w:szCs w:val="20"/>
        </w:rPr>
      </w:pPr>
      <w:r w:rsidRPr="000C3314">
        <w:rPr>
          <w:rFonts w:eastAsia="Times New Roman"/>
          <w:szCs w:val="20"/>
        </w:rPr>
        <w:lastRenderedPageBreak/>
        <w:t>Ilość wytwarzanych na terenie gminy odpadów komunalnych średniorocznie wynosi ok. 36 500 Mg/rok. Zgodnie ze złożoną ofertą cena za 1 Mg odpadów wynosi 1 132,92 zł. W przypadku ilości odpadów zauważamy systematyczny trend wzrostu ilości odbieranych odpadów.</w:t>
      </w:r>
    </w:p>
    <w:p w:rsidR="00D57360" w:rsidRPr="000C3314" w:rsidRDefault="00BF79A4">
      <w:pPr>
        <w:spacing w:before="120" w:after="120"/>
        <w:rPr>
          <w:rFonts w:eastAsia="Times New Roman"/>
          <w:szCs w:val="20"/>
        </w:rPr>
      </w:pPr>
      <w:r w:rsidRPr="000C3314">
        <w:rPr>
          <w:rFonts w:eastAsia="Times New Roman"/>
          <w:szCs w:val="20"/>
        </w:rPr>
        <w:t>Natomiast liczba mieszkańców obsługiwanych w ramach systemu gospodarowania odpadami komunalnymi wynosi 91 146 osób (wg deklaracji o wysokości opłaty za gospodarowanie odpadami komunalnymi na dzień 30.04.2025). Wg dokonanych wyliczeń wynika, że deficyt w zakresie funkcjonowania systemu odbioru i zagospodarowania odpadów komunalnych na zakończenie roku 2025 będzie wynosić 6 126 836,83 zł. Ponadto można zauważyć systematyczny spadek ilości mieszkańców Chorzowa. Na dzień 31.12.2023 roku liczba mieszkańców wynosiła 92 114 osób, a w roku 2024 liczba osób spadła do 91 331 osób.</w:t>
      </w:r>
    </w:p>
    <w:p w:rsidR="00D57360" w:rsidRPr="000C3314" w:rsidRDefault="00BF79A4">
      <w:pPr>
        <w:spacing w:before="120" w:after="120"/>
        <w:rPr>
          <w:rFonts w:eastAsia="Times New Roman"/>
          <w:szCs w:val="20"/>
        </w:rPr>
      </w:pPr>
      <w:r w:rsidRPr="000C3314">
        <w:rPr>
          <w:rFonts w:eastAsia="Times New Roman"/>
          <w:szCs w:val="20"/>
        </w:rPr>
        <w:t>6 126 836,83 zł / 91146 = 67,22 zł (brakująca kwota na osobę rocznie)</w:t>
      </w:r>
    </w:p>
    <w:p w:rsidR="00D57360" w:rsidRPr="000C3314" w:rsidRDefault="00BF79A4">
      <w:pPr>
        <w:spacing w:before="120" w:after="120"/>
        <w:rPr>
          <w:rFonts w:eastAsia="Times New Roman"/>
          <w:szCs w:val="20"/>
        </w:rPr>
      </w:pPr>
      <w:r w:rsidRPr="000C3314">
        <w:rPr>
          <w:rFonts w:eastAsia="Times New Roman"/>
          <w:szCs w:val="20"/>
        </w:rPr>
        <w:t>67,22 zł / 12 = 5,60 zł (brakująca kwota na osobę miesięcznie)</w:t>
      </w:r>
    </w:p>
    <w:p w:rsidR="00D57360" w:rsidRPr="000C3314" w:rsidRDefault="00BF79A4">
      <w:pPr>
        <w:spacing w:before="120" w:after="120"/>
        <w:rPr>
          <w:rFonts w:eastAsia="Times New Roman"/>
          <w:szCs w:val="20"/>
        </w:rPr>
      </w:pPr>
      <w:r w:rsidRPr="000C3314">
        <w:rPr>
          <w:rFonts w:eastAsia="Times New Roman"/>
          <w:szCs w:val="20"/>
        </w:rPr>
        <w:t>33,90 zł + 5,60 zł = 39,50 zł – nowa wyliczona stawka opłaty za osobę od miesiąca września 2025 r.</w:t>
      </w:r>
    </w:p>
    <w:p w:rsidR="00D57360" w:rsidRPr="000C3314" w:rsidRDefault="00BF79A4">
      <w:pPr>
        <w:spacing w:before="120" w:after="120"/>
        <w:rPr>
          <w:rFonts w:eastAsia="Times New Roman"/>
          <w:szCs w:val="20"/>
        </w:rPr>
      </w:pPr>
      <w:r w:rsidRPr="000C3314">
        <w:rPr>
          <w:rFonts w:eastAsia="Times New Roman"/>
          <w:szCs w:val="20"/>
        </w:rPr>
        <w:t>Z powyższych obliczeń wynika, iż brakująca kwota na osobę miesięcznie to 5,60 zł w stosunku do wcześniejszej stawki tj. 33,90 zł. Stanowi to wzrost o ok.16%.</w:t>
      </w:r>
    </w:p>
    <w:p w:rsidR="00D57360" w:rsidRPr="000C3314" w:rsidRDefault="00BF79A4">
      <w:pPr>
        <w:spacing w:before="120" w:after="120"/>
        <w:rPr>
          <w:rFonts w:eastAsia="Times New Roman"/>
          <w:szCs w:val="20"/>
        </w:rPr>
      </w:pPr>
      <w:r w:rsidRPr="000C3314">
        <w:rPr>
          <w:rFonts w:eastAsia="Times New Roman"/>
          <w:szCs w:val="20"/>
        </w:rPr>
        <w:t>W związku z tym, iż w gminnym systemie odbierania odpadów komunalnych w Chorzowie znajdują się również nieruchomości, które w części stanowią nieruchomość na których zamieszkują mieszkańcy, a w części nieruchomości na których nie zamieszkują mieszkańcy a powstają odpady komunalne oraz nieruchomości, na których nie zamieszkują mieszkańcy, w kalkulacji nowych stawek uwzględniono również  konieczność zmiany obecnych stawek dla powyższych nieruchomości. Nowe stawki za odpady zbierane i odbierane w sposób selektywny za pojemniki dla powyższych nieruchomości po wzroście o około 16% wyniosą: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5"/>
        <w:gridCol w:w="4253"/>
      </w:tblGrid>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b/>
                <w:szCs w:val="20"/>
              </w:rPr>
              <w:t>Składnik</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b/>
                <w:szCs w:val="20"/>
              </w:rPr>
              <w:t>Nowa stawka</w:t>
            </w:r>
          </w:p>
          <w:p w:rsidR="00D57360" w:rsidRPr="000C3314" w:rsidRDefault="00BF79A4">
            <w:pPr>
              <w:jc w:val="center"/>
              <w:rPr>
                <w:rFonts w:eastAsia="Times New Roman"/>
                <w:szCs w:val="20"/>
              </w:rPr>
            </w:pPr>
            <w:r w:rsidRPr="000C3314">
              <w:rPr>
                <w:rFonts w:eastAsia="Times New Roman"/>
                <w:b/>
                <w:szCs w:val="20"/>
              </w:rPr>
              <w:t>[zł/m-c]</w:t>
            </w:r>
          </w:p>
        </w:tc>
      </w:tr>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rPr>
                <w:rFonts w:eastAsia="Times New Roman"/>
                <w:szCs w:val="20"/>
              </w:rPr>
            </w:pPr>
            <w:r w:rsidRPr="000C3314">
              <w:rPr>
                <w:rFonts w:eastAsia="Times New Roman"/>
                <w:b/>
                <w:szCs w:val="20"/>
              </w:rPr>
              <w:t>Pojemnik 60 l</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szCs w:val="20"/>
              </w:rPr>
              <w:t>13,20</w:t>
            </w:r>
          </w:p>
        </w:tc>
      </w:tr>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rPr>
                <w:rFonts w:eastAsia="Times New Roman"/>
                <w:szCs w:val="20"/>
              </w:rPr>
            </w:pPr>
            <w:r w:rsidRPr="000C3314">
              <w:rPr>
                <w:rFonts w:eastAsia="Times New Roman"/>
                <w:b/>
                <w:szCs w:val="20"/>
              </w:rPr>
              <w:t>Pojemnik / worek 120 l</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szCs w:val="20"/>
              </w:rPr>
              <w:t>26,40</w:t>
            </w:r>
          </w:p>
        </w:tc>
      </w:tr>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rPr>
                <w:rFonts w:eastAsia="Times New Roman"/>
                <w:szCs w:val="20"/>
              </w:rPr>
            </w:pPr>
            <w:r w:rsidRPr="000C3314">
              <w:rPr>
                <w:rFonts w:eastAsia="Times New Roman"/>
                <w:b/>
                <w:szCs w:val="20"/>
              </w:rPr>
              <w:t>Pojemnik 240 l</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szCs w:val="20"/>
              </w:rPr>
              <w:t>52,80</w:t>
            </w:r>
          </w:p>
        </w:tc>
      </w:tr>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rPr>
                <w:rFonts w:eastAsia="Times New Roman"/>
                <w:szCs w:val="20"/>
              </w:rPr>
            </w:pPr>
            <w:r w:rsidRPr="000C3314">
              <w:rPr>
                <w:rFonts w:eastAsia="Times New Roman"/>
                <w:b/>
                <w:szCs w:val="20"/>
              </w:rPr>
              <w:t>Pojemnik 360 l</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szCs w:val="20"/>
              </w:rPr>
              <w:t>79,20</w:t>
            </w:r>
          </w:p>
        </w:tc>
      </w:tr>
      <w:tr w:rsidR="00D57360" w:rsidRPr="000C3314">
        <w:tc>
          <w:tcPr>
            <w:tcW w:w="5025" w:type="dxa"/>
            <w:tcBorders>
              <w:top w:val="single" w:sz="4" w:space="0" w:color="auto"/>
              <w:left w:val="single" w:sz="4" w:space="0" w:color="auto"/>
              <w:bottom w:val="single" w:sz="4" w:space="0" w:color="auto"/>
              <w:right w:val="single" w:sz="4" w:space="0" w:color="auto"/>
            </w:tcBorders>
          </w:tcPr>
          <w:p w:rsidR="00D57360" w:rsidRPr="000C3314" w:rsidRDefault="00BF79A4">
            <w:pPr>
              <w:rPr>
                <w:rFonts w:eastAsia="Times New Roman"/>
                <w:szCs w:val="20"/>
              </w:rPr>
            </w:pPr>
            <w:r w:rsidRPr="000C3314">
              <w:rPr>
                <w:rFonts w:eastAsia="Times New Roman"/>
                <w:b/>
                <w:szCs w:val="20"/>
              </w:rPr>
              <w:t>Pojemnik 1100 l</w:t>
            </w:r>
          </w:p>
        </w:tc>
        <w:tc>
          <w:tcPr>
            <w:tcW w:w="4245" w:type="dxa"/>
            <w:tcBorders>
              <w:top w:val="single" w:sz="4" w:space="0" w:color="auto"/>
              <w:left w:val="single" w:sz="4" w:space="0" w:color="auto"/>
              <w:bottom w:val="single" w:sz="4" w:space="0" w:color="auto"/>
              <w:right w:val="single" w:sz="4" w:space="0" w:color="auto"/>
            </w:tcBorders>
          </w:tcPr>
          <w:p w:rsidR="00D57360" w:rsidRPr="000C3314" w:rsidRDefault="00BF79A4">
            <w:pPr>
              <w:jc w:val="center"/>
              <w:rPr>
                <w:rFonts w:eastAsia="Times New Roman"/>
                <w:szCs w:val="20"/>
              </w:rPr>
            </w:pPr>
            <w:r w:rsidRPr="000C3314">
              <w:rPr>
                <w:rFonts w:eastAsia="Times New Roman"/>
                <w:szCs w:val="20"/>
              </w:rPr>
              <w:t>242,00</w:t>
            </w:r>
          </w:p>
        </w:tc>
      </w:tr>
    </w:tbl>
    <w:p w:rsidR="00D57360" w:rsidRPr="000C3314" w:rsidRDefault="00BF79A4">
      <w:pPr>
        <w:spacing w:before="120" w:after="120"/>
        <w:rPr>
          <w:rFonts w:eastAsia="Times New Roman"/>
          <w:szCs w:val="20"/>
        </w:rPr>
      </w:pPr>
      <w:r w:rsidRPr="000C3314">
        <w:rPr>
          <w:rFonts w:eastAsia="Times New Roman"/>
          <w:szCs w:val="20"/>
        </w:rPr>
        <w:t>Ponadto przy kalkulacji nowych stawek opłaty wzięto również pod uwagę przypadki, w których właściciele nieruchomości wytwarzają odpady nieregularnie, w szczególności to, że na niektórych nieruchomościach odpady komunalne powstają sezonowo tj.:</w:t>
      </w:r>
    </w:p>
    <w:p w:rsidR="00D57360" w:rsidRPr="000C3314" w:rsidRDefault="00BF79A4">
      <w:pPr>
        <w:spacing w:before="120" w:after="120"/>
        <w:rPr>
          <w:rFonts w:eastAsia="Times New Roman"/>
          <w:szCs w:val="20"/>
        </w:rPr>
      </w:pPr>
      <w:r w:rsidRPr="000C3314">
        <w:rPr>
          <w:rFonts w:eastAsia="Times New Roman"/>
          <w:szCs w:val="20"/>
        </w:rPr>
        <w:t>- osoby czasowo przebywające na terenie miasta Chorzów,</w:t>
      </w:r>
    </w:p>
    <w:p w:rsidR="00D57360" w:rsidRPr="000C3314" w:rsidRDefault="00BF79A4">
      <w:pPr>
        <w:spacing w:before="120" w:after="120"/>
        <w:rPr>
          <w:rFonts w:eastAsia="Times New Roman"/>
          <w:szCs w:val="20"/>
        </w:rPr>
      </w:pPr>
      <w:r w:rsidRPr="000C3314">
        <w:rPr>
          <w:rFonts w:eastAsia="Times New Roman"/>
          <w:szCs w:val="20"/>
        </w:rPr>
        <w:t>- nieruchomości, na których odpady są wytwarzane nieregularnie m.in. sezonowość zwiększonych ilości odbioru bioodpadów,</w:t>
      </w:r>
    </w:p>
    <w:p w:rsidR="00D57360" w:rsidRPr="000C3314" w:rsidRDefault="00BF79A4">
      <w:pPr>
        <w:spacing w:before="120" w:after="120"/>
        <w:rPr>
          <w:rFonts w:eastAsia="Times New Roman"/>
          <w:szCs w:val="20"/>
        </w:rPr>
      </w:pPr>
      <w:r w:rsidRPr="000C3314">
        <w:rPr>
          <w:rFonts w:eastAsia="Times New Roman"/>
          <w:szCs w:val="20"/>
        </w:rPr>
        <w:t>- zmienne ilości i częstotliwości opróżniania pojemników wynikające ze specyfiki profilu prowadzonych działalności gospodarczych na niezamieszkałych częściach nieruchomości.</w:t>
      </w:r>
    </w:p>
    <w:p w:rsidR="00D57360" w:rsidRPr="000C3314" w:rsidRDefault="00BF79A4">
      <w:pPr>
        <w:spacing w:before="120" w:after="120"/>
        <w:rPr>
          <w:rFonts w:eastAsia="Times New Roman"/>
          <w:szCs w:val="20"/>
        </w:rPr>
      </w:pPr>
      <w:r w:rsidRPr="000C3314">
        <w:rPr>
          <w:rFonts w:eastAsia="Times New Roman"/>
          <w:szCs w:val="20"/>
        </w:rPr>
        <w:t>Podwyższenie stawek opłat za gospodarowanie odpadami komunalnymi w proponowanym zakresie zapewni zbilansowanie kosztów systemu gospodarowania odpadami komunalnymi, bez konieczności zmiany zakresu zadania i obniżania wypracowanych standardów.</w:t>
      </w:r>
    </w:p>
    <w:p w:rsidR="00D57360" w:rsidRPr="000C3314" w:rsidRDefault="00BF79A4">
      <w:pPr>
        <w:spacing w:before="120" w:after="120"/>
        <w:rPr>
          <w:rFonts w:eastAsia="Times New Roman"/>
          <w:szCs w:val="20"/>
        </w:rPr>
      </w:pPr>
      <w:r w:rsidRPr="000C3314">
        <w:rPr>
          <w:rFonts w:eastAsia="Times New Roman"/>
          <w:szCs w:val="20"/>
        </w:rPr>
        <w:t>Zmiana stawki nie będzie powodowała konieczności składania nowej deklaracji przez właściciela nieruchomości, gdyż zgodnie z art. 6m ust. 2a ucpg "w przypadku uchwalenia nowej stawki opłaty za gospodarowanie odpadami komunalnymi wójt, burmistrz lub prezydent miasta zawiadamia właściciela nieruchomości o wysokości opłaty za gospodarowanie odpadami komunalnymi wyliczonej jako iloczyn nowej stawki opłaty i danych podanych w deklaracji (...)". Właściciel nieruchomości będzie zobowiązany wówczas do uiszczania opłaty, stosując wysokość opłaty podaną w zawiadomieniu.</w:t>
      </w:r>
    </w:p>
    <w:p w:rsidR="00D57360" w:rsidRPr="000C3314" w:rsidRDefault="00BF79A4">
      <w:pPr>
        <w:spacing w:before="120" w:after="120"/>
        <w:rPr>
          <w:rFonts w:eastAsia="Times New Roman"/>
          <w:szCs w:val="20"/>
        </w:rPr>
      </w:pPr>
      <w:r w:rsidRPr="000C3314">
        <w:rPr>
          <w:rFonts w:eastAsia="Times New Roman"/>
          <w:szCs w:val="20"/>
        </w:rPr>
        <w:t>W myśl art. 6k ust. 2a pkt 1 ucpg opłata za odpady komunalne zbierane i odbierane w sposób selektywny nie może być wyższa niż 2% przeciętnego miesięcznego dochodu rozporządzalnego na 1 osobę ogółem, w przypadku metody od mieszkańca. Dochód rozporządzalny za rok 2024 wyniósł 3167,17 zł, a zatem maksymalna opłata może wynosić 63,34 zł. Wyliczona opłata za gospodarowanie odpadami komunalnymi na jednego mieszkańca wyniesie 39,50 zł (za selektywnie zbierane odpady), co stanowi ok. 62% maksymalnej stawki.</w:t>
      </w:r>
    </w:p>
    <w:p w:rsidR="00D57360" w:rsidRPr="000C3314" w:rsidRDefault="00BF79A4">
      <w:pPr>
        <w:spacing w:before="120" w:after="120"/>
        <w:rPr>
          <w:rFonts w:eastAsia="Times New Roman"/>
          <w:szCs w:val="20"/>
        </w:rPr>
      </w:pPr>
      <w:r w:rsidRPr="000C3314">
        <w:rPr>
          <w:rFonts w:eastAsia="Times New Roman"/>
          <w:szCs w:val="20"/>
        </w:rPr>
        <w:lastRenderedPageBreak/>
        <w:t>Natomiast zgodnie z art. 6k ust. 2a pkt 5 ucpg opłata za odpady komunalne zbierane i odbierane w sposób selektywny nie może być wyższa niż 1,3% przeciętnego miesięcznego dochodu rozporządzalnego na 1 osobę ogółem za pojemniki lub worki o pojemności 120 l przeznaczone do zbierania odpadów komunalnych na terenie nieruchomości. Dochód rozporządzalny za rok 2024 wyniósł 3 167,17 zł, a zatem maksymalna opłata za pojemnik 120 l może wynosić 41,17 zł. Wyliczona opłata za gospodarowanie odpadami komunalnymi za pojemnik 120 l wyniesie 26,40 zł (za selektywnie zbierane odpady), co stanowi ok. 64% maksymalnej stawki.</w:t>
      </w:r>
    </w:p>
    <w:p w:rsidR="00D57360" w:rsidRPr="000C3314" w:rsidRDefault="00BF79A4">
      <w:pPr>
        <w:spacing w:before="120" w:after="120"/>
        <w:rPr>
          <w:rFonts w:eastAsia="Times New Roman"/>
          <w:szCs w:val="20"/>
        </w:rPr>
      </w:pPr>
      <w:r w:rsidRPr="000C3314">
        <w:rPr>
          <w:rFonts w:eastAsia="Times New Roman"/>
          <w:szCs w:val="20"/>
        </w:rPr>
        <w:t>Ponadto przy wyliczeniu nowych stawek opłaty za gospodarowanie odpadami komunalnymi uwzględniono również zarzuty WSA.</w:t>
      </w:r>
    </w:p>
    <w:p w:rsidR="00D57360" w:rsidRPr="000C3314" w:rsidRDefault="00BF79A4">
      <w:pPr>
        <w:spacing w:before="120" w:after="120"/>
        <w:rPr>
          <w:rFonts w:eastAsia="Times New Roman"/>
          <w:szCs w:val="20"/>
        </w:rPr>
      </w:pPr>
      <w:r w:rsidRPr="000C3314">
        <w:rPr>
          <w:rFonts w:eastAsia="Times New Roman"/>
          <w:szCs w:val="20"/>
        </w:rPr>
        <w:t>Wobec powyższego nowe stawki za odbiór i zagospodarowanie odpadów komunalnych mające obowiązywać od 01.09.2025 r. prezentują się następująco: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0"/>
        <w:gridCol w:w="3201"/>
        <w:gridCol w:w="3487"/>
      </w:tblGrid>
      <w:tr w:rsidR="00D57360" w:rsidRPr="000C3314">
        <w:tc>
          <w:tcPr>
            <w:tcW w:w="2595" w:type="dxa"/>
            <w:tcBorders>
              <w:top w:val="single" w:sz="4" w:space="0" w:color="auto"/>
              <w:left w:val="single" w:sz="4" w:space="0" w:color="auto"/>
              <w:bottom w:val="single" w:sz="4" w:space="0" w:color="auto"/>
              <w:right w:val="nil"/>
            </w:tcBorders>
          </w:tcPr>
          <w:p w:rsidR="00D57360" w:rsidRPr="000C3314" w:rsidRDefault="00D57360">
            <w:pPr>
              <w:jc w:val="center"/>
              <w:rPr>
                <w:rFonts w:eastAsia="Times New Roman"/>
                <w:szCs w:val="20"/>
              </w:rPr>
            </w:pPr>
          </w:p>
          <w:p w:rsidR="00D57360" w:rsidRPr="000C3314" w:rsidRDefault="00BF79A4">
            <w:pPr>
              <w:jc w:val="center"/>
              <w:rPr>
                <w:rFonts w:eastAsia="Times New Roman"/>
                <w:szCs w:val="20"/>
              </w:rPr>
            </w:pPr>
            <w:r w:rsidRPr="000C3314">
              <w:rPr>
                <w:rFonts w:eastAsia="Times New Roman"/>
                <w:b/>
                <w:szCs w:val="20"/>
              </w:rPr>
              <w:t>Składnik</w:t>
            </w:r>
          </w:p>
        </w:tc>
        <w:tc>
          <w:tcPr>
            <w:tcW w:w="3195" w:type="dxa"/>
            <w:tcBorders>
              <w:top w:val="single" w:sz="4" w:space="0" w:color="auto"/>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b/>
                <w:szCs w:val="20"/>
              </w:rPr>
              <w:t>Proponowana stawka za odpady zbierane w sposób selektywny [zł/m-c]</w:t>
            </w:r>
          </w:p>
        </w:tc>
        <w:tc>
          <w:tcPr>
            <w:tcW w:w="3480" w:type="dxa"/>
            <w:tcBorders>
              <w:top w:val="single" w:sz="4" w:space="0" w:color="auto"/>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b/>
                <w:szCs w:val="20"/>
              </w:rPr>
              <w:t>Proponowana stawka za odpady zbierane w sposób nieselektywny [zł/m-c]</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Osoba</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39,50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79,00</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Pojemnik 60 l</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13,20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26,40</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Pojemnik / worek 120 l</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26,40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52,80</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Pojemnik 240 l</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52,80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105,60</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Pojemnik 360 l</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79,20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158,40</w:t>
            </w:r>
          </w:p>
        </w:tc>
      </w:tr>
      <w:tr w:rsidR="00D57360" w:rsidRPr="000C3314">
        <w:tc>
          <w:tcPr>
            <w:tcW w:w="2595" w:type="dxa"/>
            <w:tcBorders>
              <w:top w:val="nil"/>
              <w:left w:val="single" w:sz="4" w:space="0" w:color="auto"/>
              <w:bottom w:val="single" w:sz="4" w:space="0" w:color="auto"/>
              <w:right w:val="nil"/>
            </w:tcBorders>
          </w:tcPr>
          <w:p w:rsidR="00D57360" w:rsidRPr="000C3314" w:rsidRDefault="00BF79A4">
            <w:pPr>
              <w:rPr>
                <w:rFonts w:eastAsia="Times New Roman"/>
                <w:szCs w:val="20"/>
              </w:rPr>
            </w:pPr>
            <w:r w:rsidRPr="000C3314">
              <w:rPr>
                <w:rFonts w:eastAsia="Times New Roman"/>
                <w:b/>
                <w:szCs w:val="20"/>
              </w:rPr>
              <w:t>Pojemnik 1100 l</w:t>
            </w:r>
          </w:p>
        </w:tc>
        <w:tc>
          <w:tcPr>
            <w:tcW w:w="3195" w:type="dxa"/>
            <w:tcBorders>
              <w:top w:val="nil"/>
              <w:left w:val="single" w:sz="4" w:space="0" w:color="auto"/>
              <w:bottom w:val="single" w:sz="4" w:space="0" w:color="auto"/>
              <w:right w:val="nil"/>
            </w:tcBorders>
          </w:tcPr>
          <w:p w:rsidR="00D57360" w:rsidRPr="000C3314" w:rsidRDefault="00BF79A4">
            <w:pPr>
              <w:jc w:val="center"/>
              <w:rPr>
                <w:rFonts w:eastAsia="Times New Roman"/>
                <w:szCs w:val="20"/>
              </w:rPr>
            </w:pPr>
            <w:r w:rsidRPr="000C3314">
              <w:rPr>
                <w:rFonts w:eastAsia="Times New Roman"/>
                <w:szCs w:val="20"/>
              </w:rPr>
              <w:t>242,00</w:t>
            </w:r>
          </w:p>
        </w:tc>
        <w:tc>
          <w:tcPr>
            <w:tcW w:w="3480" w:type="dxa"/>
            <w:tcBorders>
              <w:top w:val="nil"/>
              <w:left w:val="single" w:sz="4" w:space="0" w:color="auto"/>
              <w:bottom w:val="single" w:sz="4" w:space="0" w:color="auto"/>
              <w:right w:val="single" w:sz="2" w:space="0" w:color="auto"/>
            </w:tcBorders>
          </w:tcPr>
          <w:p w:rsidR="00D57360" w:rsidRPr="000C3314" w:rsidRDefault="00BF79A4">
            <w:pPr>
              <w:jc w:val="center"/>
              <w:rPr>
                <w:rFonts w:eastAsia="Times New Roman"/>
                <w:szCs w:val="20"/>
              </w:rPr>
            </w:pPr>
            <w:r w:rsidRPr="000C3314">
              <w:rPr>
                <w:rFonts w:eastAsia="Times New Roman"/>
                <w:szCs w:val="20"/>
              </w:rPr>
              <w:t>484,00</w:t>
            </w:r>
          </w:p>
        </w:tc>
      </w:tr>
    </w:tbl>
    <w:p w:rsidR="00D57360" w:rsidRPr="000C3314" w:rsidRDefault="00BF79A4">
      <w:pPr>
        <w:spacing w:before="120" w:after="120"/>
        <w:rPr>
          <w:rFonts w:eastAsia="Times New Roman"/>
          <w:szCs w:val="20"/>
        </w:rPr>
      </w:pPr>
      <w:r w:rsidRPr="000C3314">
        <w:rPr>
          <w:rFonts w:eastAsia="Times New Roman"/>
          <w:szCs w:val="20"/>
        </w:rPr>
        <w:t>Projekt uchwały poddano również konsultacjom określonym w trybie art. 5 ust. 5 ustawy z dnia 24 kwietnia 2003 r. o działalności pożytku publicznego i o wolontariacie (t.j. Dz. U. z 2024 r. poz. 1491 z późn. zm.).</w:t>
      </w:r>
    </w:p>
    <w:sectPr w:rsidR="00D57360" w:rsidRPr="000C3314" w:rsidSect="00D57360">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3D9" w:rsidRDefault="009923D9" w:rsidP="00D57360">
      <w:r>
        <w:separator/>
      </w:r>
    </w:p>
  </w:endnote>
  <w:endnote w:type="continuationSeparator" w:id="0">
    <w:p w:rsidR="009923D9" w:rsidRDefault="009923D9" w:rsidP="00D57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D57360">
      <w:tc>
        <w:tcPr>
          <w:tcW w:w="6048" w:type="dxa"/>
          <w:tcBorders>
            <w:top w:val="nil"/>
            <w:left w:val="nil"/>
            <w:bottom w:val="nil"/>
            <w:right w:val="nil"/>
          </w:tcBorders>
          <w:tcMar>
            <w:top w:w="100" w:type="dxa"/>
          </w:tcMar>
        </w:tcPr>
        <w:p w:rsidR="00D57360" w:rsidRDefault="00BF79A4">
          <w:pPr>
            <w:jc w:val="left"/>
            <w:rPr>
              <w:sz w:val="18"/>
            </w:rPr>
          </w:pPr>
          <w:r>
            <w:rPr>
              <w:sz w:val="18"/>
            </w:rPr>
            <w:t>Id: 52DA41D0-A5A6-41A0-962C-F9A92D9EEDB1. Projekt</w:t>
          </w:r>
        </w:p>
      </w:tc>
      <w:tc>
        <w:tcPr>
          <w:tcW w:w="3024" w:type="dxa"/>
          <w:tcBorders>
            <w:top w:val="nil"/>
            <w:left w:val="nil"/>
            <w:bottom w:val="nil"/>
            <w:right w:val="nil"/>
          </w:tcBorders>
          <w:tcMar>
            <w:top w:w="100" w:type="dxa"/>
          </w:tcMar>
        </w:tcPr>
        <w:p w:rsidR="00D57360" w:rsidRDefault="00BF79A4">
          <w:pPr>
            <w:jc w:val="right"/>
            <w:rPr>
              <w:sz w:val="18"/>
            </w:rPr>
          </w:pPr>
          <w:r>
            <w:rPr>
              <w:sz w:val="18"/>
            </w:rPr>
            <w:t xml:space="preserve">Strona </w:t>
          </w:r>
          <w:r w:rsidR="000F4C29">
            <w:rPr>
              <w:sz w:val="18"/>
            </w:rPr>
            <w:fldChar w:fldCharType="begin"/>
          </w:r>
          <w:r>
            <w:rPr>
              <w:sz w:val="18"/>
            </w:rPr>
            <w:instrText>PAGE</w:instrText>
          </w:r>
          <w:r w:rsidR="000F4C29">
            <w:rPr>
              <w:sz w:val="18"/>
            </w:rPr>
            <w:fldChar w:fldCharType="separate"/>
          </w:r>
          <w:r w:rsidR="005B43C9">
            <w:rPr>
              <w:noProof/>
              <w:sz w:val="18"/>
            </w:rPr>
            <w:t>2</w:t>
          </w:r>
          <w:r w:rsidR="000F4C29">
            <w:rPr>
              <w:sz w:val="18"/>
            </w:rPr>
            <w:fldChar w:fldCharType="end"/>
          </w:r>
        </w:p>
      </w:tc>
    </w:tr>
  </w:tbl>
  <w:p w:rsidR="00D57360" w:rsidRDefault="00D57360">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D57360">
      <w:tc>
        <w:tcPr>
          <w:tcW w:w="6048" w:type="dxa"/>
          <w:tcBorders>
            <w:top w:val="nil"/>
            <w:left w:val="nil"/>
            <w:bottom w:val="nil"/>
            <w:right w:val="nil"/>
          </w:tcBorders>
          <w:tcMar>
            <w:top w:w="100" w:type="dxa"/>
          </w:tcMar>
        </w:tcPr>
        <w:p w:rsidR="00D57360" w:rsidRDefault="00BF79A4">
          <w:pPr>
            <w:jc w:val="left"/>
            <w:rPr>
              <w:sz w:val="18"/>
            </w:rPr>
          </w:pPr>
          <w:r>
            <w:rPr>
              <w:sz w:val="18"/>
            </w:rPr>
            <w:t>Id: 52DA41D0-A5A6-41A0-962C-F9A92D9EEDB1. Projekt</w:t>
          </w:r>
        </w:p>
      </w:tc>
      <w:tc>
        <w:tcPr>
          <w:tcW w:w="3024" w:type="dxa"/>
          <w:tcBorders>
            <w:top w:val="nil"/>
            <w:left w:val="nil"/>
            <w:bottom w:val="nil"/>
            <w:right w:val="nil"/>
          </w:tcBorders>
          <w:tcMar>
            <w:top w:w="100" w:type="dxa"/>
          </w:tcMar>
        </w:tcPr>
        <w:p w:rsidR="00D57360" w:rsidRDefault="00BF79A4">
          <w:pPr>
            <w:jc w:val="right"/>
            <w:rPr>
              <w:sz w:val="18"/>
            </w:rPr>
          </w:pPr>
          <w:r>
            <w:rPr>
              <w:sz w:val="18"/>
            </w:rPr>
            <w:t xml:space="preserve">Strona </w:t>
          </w:r>
          <w:r w:rsidR="000F4C29">
            <w:rPr>
              <w:sz w:val="18"/>
            </w:rPr>
            <w:fldChar w:fldCharType="begin"/>
          </w:r>
          <w:r>
            <w:rPr>
              <w:sz w:val="18"/>
            </w:rPr>
            <w:instrText>PAGE</w:instrText>
          </w:r>
          <w:r w:rsidR="000F4C29">
            <w:rPr>
              <w:sz w:val="18"/>
            </w:rPr>
            <w:fldChar w:fldCharType="separate"/>
          </w:r>
          <w:r w:rsidR="005B43C9">
            <w:rPr>
              <w:noProof/>
              <w:sz w:val="18"/>
            </w:rPr>
            <w:t>4</w:t>
          </w:r>
          <w:r w:rsidR="000F4C29">
            <w:rPr>
              <w:sz w:val="18"/>
            </w:rPr>
            <w:fldChar w:fldCharType="end"/>
          </w:r>
        </w:p>
      </w:tc>
    </w:tr>
  </w:tbl>
  <w:p w:rsidR="00D57360" w:rsidRDefault="00D57360">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3D9" w:rsidRDefault="009923D9" w:rsidP="00D57360">
      <w:r>
        <w:separator/>
      </w:r>
    </w:p>
  </w:footnote>
  <w:footnote w:type="continuationSeparator" w:id="0">
    <w:p w:rsidR="009923D9" w:rsidRDefault="009923D9" w:rsidP="00D573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C3314"/>
    <w:rsid w:val="000F4C29"/>
    <w:rsid w:val="005B43C9"/>
    <w:rsid w:val="009923D9"/>
    <w:rsid w:val="00A77B3E"/>
    <w:rsid w:val="00BF79A4"/>
    <w:rsid w:val="00CA2A55"/>
    <w:rsid w:val="00D57360"/>
    <w:rsid w:val="00E74D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57360"/>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2179</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wyboru metody ustalenia opłaty za gospodarowanie odpadami komunalnymi, ustalenia stawki tej opłaty oraz określenia stawek opłaty podwyższonej za gospodarowanie odpadami komunalnymi</dc:subject>
  <dc:creator>pietrzyk_e</dc:creator>
  <cp:lastModifiedBy>Elżbieta Pietrzyk</cp:lastModifiedBy>
  <cp:revision>2</cp:revision>
  <dcterms:created xsi:type="dcterms:W3CDTF">2025-08-25T10:06:00Z</dcterms:created>
  <dcterms:modified xsi:type="dcterms:W3CDTF">2025-08-25T10:06:00Z</dcterms:modified>
  <cp:category>Akt prawny</cp:category>
</cp:coreProperties>
</file>