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C6EFF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E24C59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112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6C6EF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6C6EFF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6C6EFF">
      <w:pPr>
        <w:keepNext/>
        <w:spacing w:after="480"/>
        <w:jc w:val="center"/>
      </w:pPr>
      <w:r>
        <w:rPr>
          <w:b/>
        </w:rPr>
        <w:t>w sprawie uchwalenia Wieloletniej Prognozy Finansowej Miasta Chorzów</w:t>
      </w:r>
    </w:p>
    <w:p w:rsidR="00A77B3E" w:rsidRDefault="006C6EFF">
      <w:pPr>
        <w:keepLines/>
        <w:spacing w:before="120" w:after="120"/>
        <w:ind w:firstLine="283"/>
      </w:pPr>
      <w:r>
        <w:t>Na podstawie art.18 ust.2 pkt 15 ustawy z dnia 8 marca 1990 r. o samorządzie gminnym (t.j. Dz.U. z 2024 r. poz.1465, z późn. zm.), art. 12 pkt 11 w związku z art. 92 ust.1 pkt 1 oraz ust.2 ustawy z dnia 5 czerwca 1998 r. o samorządzie powiatowym  (t.j. Dz.U. z 2024 r. poz.107) oraz art.226, art. 227, art.228, art.229, art.230 ust.6, art.232 ust.2, art.242 ust.1 i art.243 ustawy z dnia 27 sierpnia 2009 r. o finansach publicznych (t.j. Dz.U. z 2024 r. poz.1530, z późn. zm.)</w:t>
      </w:r>
    </w:p>
    <w:p w:rsidR="00A77B3E" w:rsidRDefault="006C6EFF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postanawia</w:t>
      </w:r>
    </w:p>
    <w:p w:rsidR="002B6731" w:rsidRDefault="006C6EF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6C6EFF">
      <w:pPr>
        <w:keepLines/>
        <w:spacing w:before="120" w:after="120"/>
      </w:pPr>
      <w:r>
        <w:t>Uchwalić Wieloletnią Prognozę Finansową Miasta Chorzów na lata 2025 – 2028, zgodnie z załącznikiem Nr 1 do uchwały zawierającym objaśnienia przyjętych wartości.</w:t>
      </w:r>
    </w:p>
    <w:p w:rsidR="002B6731" w:rsidRDefault="006C6EF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6C6EFF">
      <w:pPr>
        <w:keepLines/>
        <w:spacing w:before="120" w:after="120"/>
      </w:pPr>
      <w:r>
        <w:t>Określić wykaz przedsięwzięć realizowanych w latach 2025 – 2041, zgodnie z załącznikiem Nr 2 do uchwały.</w:t>
      </w:r>
    </w:p>
    <w:p w:rsidR="002B6731" w:rsidRDefault="006C6EF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6C6EFF">
      <w:pPr>
        <w:keepLines/>
        <w:spacing w:before="120" w:after="120"/>
      </w:pPr>
      <w:r>
        <w:t>Określić wysokość zabezpieczonych w 2025 r. środków na świadczenia pracownicze na poziomie 436.373.821,28 zł.</w:t>
      </w:r>
    </w:p>
    <w:p w:rsidR="002B6731" w:rsidRDefault="006C6EFF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6C6EFF">
      <w:pPr>
        <w:keepLines/>
        <w:spacing w:before="120" w:after="120"/>
      </w:pPr>
      <w:r>
        <w:t>1. Upoważnić Prezydenta Miasta do zaciągania zobowiązań związanych z realizacją przedsięwzięć określonych załącznikiem Nr 2 do uchwały.</w:t>
      </w:r>
    </w:p>
    <w:p w:rsidR="00A77B3E" w:rsidRDefault="006C6EFF">
      <w:pPr>
        <w:keepLines/>
        <w:spacing w:before="120" w:after="120"/>
      </w:pPr>
      <w:r>
        <w:t>2. Upoważnić Prezydenta Miasta do zaciągania zobowiązań z tytułu umów, których realizacja w roku budżetowym i w latach następnych jest niezbędna do zapewnienia ciągłości działania jednostki i z których wynikające płatności wykraczają poza rok budżetowy.</w:t>
      </w:r>
    </w:p>
    <w:p w:rsidR="00A77B3E" w:rsidRDefault="006C6EFF">
      <w:pPr>
        <w:keepLines/>
        <w:spacing w:before="120" w:after="120"/>
      </w:pPr>
      <w:r>
        <w:t>3. Upoważnić Prezydenta Miasta do przekazania uprawnień w zakresie zaciągania zobowiązań, określonych w § 4 ust. 1 i 2 uchwały, kierownikom jednostek organizacyjnych.</w:t>
      </w:r>
    </w:p>
    <w:p w:rsidR="00A77B3E" w:rsidRDefault="006C6EFF">
      <w:pPr>
        <w:keepLines/>
        <w:spacing w:before="120" w:after="120"/>
      </w:pPr>
      <w:r>
        <w:t>4. Upoważnić Prezydenta Miasta do dokonywania zmian limitów zobowiązań i kwot wydatków na realizację przedsięwzięcia finansowanego z udziałem środków europejskich albo środków, o których mowa w art. 5 ust. 1 pkt 3 ustawy z dnia 27 sierpnia 2009 r. o finansach publicznych, w związku ze zmianami w realizacji tego przedsięwzięcia, o ile zmiany te nie pogorszą wyniku budżetu dla każdego roku objętego wieloletnią prognozą finansową. Upoważnienie to obejmuje także upoważnienie do dokonywania zmian środków przeznaczonych na współfinansowanie realizacji przedsięwzięć, o których mowa w zdaniu pierwszym, w tym wkładu własnego beneficjenta, oraz wynikających z rozstrzygniętych konkursów, o których mowa w art. 38 ust. 1 pkt 1 ustawy z dnia 11 lipca 2014 r. o zasadach realizacji programów w zakresie polityki spójności finansowych w perspektywie finansowej 2014-2020 (t.j. Dz.U. z 2020 r. poz.818, z późn. zm.).</w:t>
      </w:r>
    </w:p>
    <w:p w:rsidR="002B6731" w:rsidRDefault="006C6EFF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6C6EFF">
      <w:pPr>
        <w:keepLines/>
        <w:spacing w:before="120" w:after="120"/>
      </w:pPr>
      <w:r>
        <w:t>Uchwała Nr LXXI/1129/2023 Rady Miasta Chorzów z dnia 14 grudnia 2023 r. w sprawie uchwalenia Wieloletniej Prognozy Finansowej Miasta Chorzów traci moc z dniem 31 grudnia 2024 roku.</w:t>
      </w:r>
    </w:p>
    <w:p w:rsidR="002B6731" w:rsidRDefault="006C6EFF">
      <w:pPr>
        <w:keepNext/>
        <w:spacing w:before="280"/>
        <w:jc w:val="center"/>
      </w:pPr>
      <w:r>
        <w:rPr>
          <w:b/>
        </w:rPr>
        <w:lastRenderedPageBreak/>
        <w:t>§ 6. </w:t>
      </w:r>
    </w:p>
    <w:p w:rsidR="00A77B3E" w:rsidRDefault="006C6EFF">
      <w:pPr>
        <w:keepLines/>
        <w:spacing w:before="120" w:after="120"/>
      </w:pPr>
      <w:r>
        <w:t>Wykonanie uchwały powierza się Prezydentowi Miasta Chorzów.</w:t>
      </w:r>
    </w:p>
    <w:p w:rsidR="002B6731" w:rsidRDefault="006C6EFF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6C6EFF">
      <w:pPr>
        <w:keepLines/>
        <w:spacing w:before="120" w:after="120"/>
      </w:pPr>
      <w:r>
        <w:t>Uchwała wchodzi w życie z dniem 1 stycznia 2025 roku.</w:t>
      </w:r>
    </w:p>
    <w:p w:rsidR="00E10305" w:rsidRDefault="00E10305">
      <w:pPr>
        <w:keepLines/>
        <w:spacing w:before="120" w:after="120"/>
      </w:pPr>
    </w:p>
    <w:p w:rsidR="00E10305" w:rsidRPr="00E10305" w:rsidRDefault="00E10305">
      <w:pPr>
        <w:keepLines/>
        <w:spacing w:before="120" w:after="120"/>
        <w:rPr>
          <w:b/>
          <w:i/>
        </w:rPr>
      </w:pPr>
    </w:p>
    <w:p w:rsidR="00E10305" w:rsidRPr="00E10305" w:rsidRDefault="00E10305">
      <w:pPr>
        <w:keepLines/>
        <w:spacing w:before="120" w:after="120"/>
        <w:rPr>
          <w:b/>
          <w:i/>
        </w:rPr>
      </w:pPr>
      <w:r w:rsidRPr="00E10305">
        <w:rPr>
          <w:b/>
          <w:i/>
        </w:rPr>
        <w:t>RADCA PRAWNY</w:t>
      </w:r>
    </w:p>
    <w:p w:rsidR="00E10305" w:rsidRPr="00E10305" w:rsidRDefault="00E10305">
      <w:pPr>
        <w:keepLines/>
        <w:spacing w:before="120" w:after="120"/>
        <w:rPr>
          <w:b/>
          <w:i/>
        </w:rPr>
      </w:pPr>
      <w:r w:rsidRPr="00E10305">
        <w:rPr>
          <w:b/>
          <w:i/>
        </w:rPr>
        <w:t>/-/ Dawid Karol</w:t>
      </w:r>
    </w:p>
    <w:p w:rsidR="00E10305" w:rsidRDefault="00E10305">
      <w:pPr>
        <w:keepLines/>
        <w:spacing w:before="120" w:after="120"/>
      </w:pPr>
    </w:p>
    <w:p w:rsidR="00E10305" w:rsidRDefault="00E10305">
      <w:pPr>
        <w:keepLines/>
        <w:spacing w:before="120" w:after="120"/>
        <w:sectPr w:rsidR="00E10305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0305" w:rsidRDefault="00916B14">
      <w:pPr>
        <w:keepLines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6C6EFF">
        <w:t>Załącznik Nr 1 do uchwały Nr ....................</w:t>
      </w:r>
      <w:r w:rsidR="006C6EFF">
        <w:br/>
        <w:t xml:space="preserve">Rady Miasta Chorzów </w:t>
      </w:r>
      <w:r w:rsidR="006C6EFF">
        <w:br/>
        <w:t>z dnia .................... 2024 r.</w:t>
      </w:r>
      <w:r w:rsidR="006C6EFF">
        <w:br/>
      </w:r>
      <w:hyperlink r:id="rId8" w:history="1">
        <w:r w:rsidR="006C6EFF">
          <w:rPr>
            <w:rStyle w:val="Hipercze"/>
            <w:color w:val="auto"/>
            <w:u w:val="none"/>
          </w:rPr>
          <w:t>Zalacznik1.pdf</w:t>
        </w:r>
      </w:hyperlink>
    </w:p>
    <w:p w:rsidR="00A77B3E" w:rsidRDefault="00916B14">
      <w:pPr>
        <w:keepLines/>
        <w:spacing w:before="280" w:after="280" w:line="360" w:lineRule="auto"/>
        <w:ind w:left="4535"/>
        <w:jc w:val="left"/>
      </w:pPr>
      <w:r>
        <w:fldChar w:fldCharType="begin"/>
      </w:r>
      <w:r>
        <w:fldChar w:fldCharType="end"/>
      </w:r>
      <w:r w:rsidR="006C6EFF">
        <w:t>Załącznik Nr 2 do uchwały Nr ....................</w:t>
      </w:r>
      <w:r w:rsidR="006C6EFF">
        <w:br/>
        <w:t xml:space="preserve">Rady Miasta Chorzów </w:t>
      </w:r>
      <w:r w:rsidR="006C6EFF">
        <w:br/>
        <w:t>z dnia .................... 2024 r.</w:t>
      </w:r>
      <w:r w:rsidR="006C6EFF">
        <w:br/>
      </w:r>
      <w:hyperlink r:id="rId9" w:history="1">
        <w:r w:rsidR="006C6EFF">
          <w:rPr>
            <w:rStyle w:val="Hipercze"/>
            <w:color w:val="auto"/>
            <w:u w:val="none"/>
          </w:rPr>
          <w:t>Zalacznik2.pdf</w:t>
        </w:r>
      </w:hyperlink>
    </w:p>
    <w:p w:rsidR="00E10305" w:rsidRDefault="00E10305">
      <w:pPr>
        <w:keepLines/>
        <w:spacing w:before="280" w:after="280" w:line="360" w:lineRule="auto"/>
        <w:ind w:left="4535"/>
        <w:jc w:val="left"/>
      </w:pPr>
    </w:p>
    <w:p w:rsidR="00E10305" w:rsidRDefault="00E10305">
      <w:pPr>
        <w:keepLines/>
        <w:spacing w:before="280" w:after="280" w:line="360" w:lineRule="auto"/>
        <w:ind w:left="4535"/>
        <w:jc w:val="left"/>
      </w:pPr>
    </w:p>
    <w:p w:rsidR="00E10305" w:rsidRDefault="00E10305">
      <w:pPr>
        <w:keepLines/>
        <w:spacing w:before="280" w:after="280" w:line="360" w:lineRule="auto"/>
        <w:ind w:left="4535"/>
        <w:jc w:val="left"/>
        <w:sectPr w:rsidR="00E10305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B6731" w:rsidRDefault="002B673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tbl>
      <w:tblPr>
        <w:tblpPr w:leftFromText="187" w:rightFromText="187" w:vertAnchor="page" w:horzAnchor="page" w:tblpX="1" w:tblpYSpec="top"/>
        <w:tblW w:w="9648" w:type="dxa"/>
        <w:tblLook w:val="04A0"/>
      </w:tblPr>
      <w:tblGrid>
        <w:gridCol w:w="1608"/>
        <w:gridCol w:w="8040"/>
      </w:tblGrid>
      <w:tr w:rsidR="002B6731">
        <w:trPr>
          <w:trHeight w:val="97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2B6731" w:rsidRDefault="006C6EFF">
            <w:pPr>
              <w:ind w:left="695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0"/>
              </w:rPr>
              <w:t>-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2B6731" w:rsidRDefault="002B6731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56"/>
                <w:szCs w:val="20"/>
                <w:shd w:val="clear" w:color="auto" w:fill="FFFFFF"/>
                <w:lang w:eastAsia="en-US" w:bidi="ar-SA"/>
              </w:rPr>
            </w:pPr>
          </w:p>
          <w:p w:rsidR="002B6731" w:rsidRDefault="006C6EFF">
            <w:pPr>
              <w:jc w:val="left"/>
              <w:rPr>
                <w:rFonts w:ascii="Calibri" w:eastAsia="Times New Roman" w:hAnsi="Calibri" w:cs="Times New Roman"/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20"/>
                <w:shd w:val="clear" w:color="auto" w:fill="FFFFFF"/>
                <w:lang w:eastAsia="en-US" w:bidi="ar-SA"/>
              </w:rPr>
              <w:t>PREZYDENT MIASTA CHORZÓW</w:t>
            </w:r>
          </w:p>
          <w:p w:rsidR="002B6731" w:rsidRDefault="002B6731">
            <w:pPr>
              <w:jc w:val="left"/>
              <w:rPr>
                <w:rFonts w:ascii="Cambria" w:eastAsia="Times New Roman" w:hAnsi="Cambria" w:cs="Times New Roman"/>
                <w:b/>
                <w:color w:val="000000"/>
                <w:sz w:val="3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2B6731">
        <w:trPr>
          <w:trHeight w:val="186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2B6731" w:rsidRDefault="002B6731">
            <w:pPr>
              <w:jc w:val="left"/>
              <w:rPr>
                <w:rFonts w:eastAsia="Times New Roman" w:cs="Times New Roman"/>
                <w:color w:val="FF0000"/>
                <w:szCs w:val="20"/>
                <w:shd w:val="clear" w:color="auto" w:fill="FFFFFF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center"/>
          </w:tcPr>
          <w:p w:rsidR="002B6731" w:rsidRDefault="002B6731">
            <w:pPr>
              <w:jc w:val="left"/>
              <w:rPr>
                <w:rFonts w:ascii="Calibri" w:eastAsia="Times New Roman" w:hAnsi="Calibri" w:cs="Times New Roman"/>
                <w:color w:val="FF0000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2B6731" w:rsidRDefault="002B6731">
      <w:pPr>
        <w:jc w:val="center"/>
        <w:rPr>
          <w:rFonts w:eastAsia="Times New Roman" w:cs="Times New Roman"/>
          <w:color w:val="000000"/>
          <w:sz w:val="28"/>
          <w:szCs w:val="20"/>
          <w:shd w:val="clear" w:color="auto" w:fill="FFFFFF"/>
        </w:rPr>
      </w:pPr>
    </w:p>
    <w:p w:rsidR="002B6731" w:rsidRDefault="002B6731">
      <w:pPr>
        <w:jc w:val="center"/>
        <w:rPr>
          <w:rFonts w:eastAsia="Times New Roman" w:cs="Times New Roman"/>
          <w:color w:val="000000"/>
          <w:sz w:val="28"/>
          <w:szCs w:val="20"/>
          <w:shd w:val="clear" w:color="auto" w:fill="FFFFFF"/>
        </w:rPr>
      </w:pPr>
    </w:p>
    <w:p w:rsidR="002B6731" w:rsidRDefault="002B6731">
      <w:pPr>
        <w:jc w:val="center"/>
        <w:rPr>
          <w:rFonts w:eastAsia="Times New Roman" w:cs="Times New Roman"/>
          <w:color w:val="000000"/>
          <w:sz w:val="28"/>
          <w:szCs w:val="20"/>
          <w:shd w:val="clear" w:color="auto" w:fill="FFFFFF"/>
        </w:rPr>
      </w:pPr>
    </w:p>
    <w:p w:rsidR="002B6731" w:rsidRDefault="002B6731">
      <w:pPr>
        <w:jc w:val="center"/>
        <w:rPr>
          <w:rFonts w:eastAsia="Times New Roman" w:cs="Times New Roman"/>
          <w:color w:val="000000"/>
          <w:sz w:val="28"/>
          <w:szCs w:val="20"/>
          <w:shd w:val="clear" w:color="auto" w:fill="FFFFFF"/>
        </w:rPr>
      </w:pPr>
    </w:p>
    <w:p w:rsidR="002B6731" w:rsidRDefault="002B6731">
      <w:pPr>
        <w:jc w:val="center"/>
        <w:rPr>
          <w:rFonts w:eastAsia="Times New Roman" w:cs="Times New Roman"/>
          <w:color w:val="000000"/>
          <w:sz w:val="28"/>
          <w:szCs w:val="20"/>
          <w:shd w:val="clear" w:color="auto" w:fill="FFFFFF"/>
        </w:rPr>
      </w:pPr>
    </w:p>
    <w:p w:rsidR="002B6731" w:rsidRDefault="006C6EFF">
      <w:pPr>
        <w:jc w:val="center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1338580" cy="15544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31" w:rsidRDefault="002B6731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6C6EFF">
      <w:pPr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color w:val="000000"/>
          <w:sz w:val="28"/>
          <w:szCs w:val="20"/>
        </w:rPr>
        <w:t xml:space="preserve">Projekt Wieloletniej Prognozy </w:t>
      </w:r>
      <w:r>
        <w:rPr>
          <w:rFonts w:eastAsia="Times New Roman" w:cs="Times New Roman"/>
          <w:b/>
          <w:sz w:val="28"/>
          <w:szCs w:val="20"/>
        </w:rPr>
        <w:t>Finansowej Miasta Chorzów</w:t>
      </w:r>
    </w:p>
    <w:p w:rsidR="002B6731" w:rsidRDefault="006C6EFF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  <w:t>na lata 2025 - 2028</w:t>
      </w: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2B6731" w:rsidRDefault="002B6731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shd w:val="clear" w:color="auto" w:fill="FFFFFF"/>
          <w:lang w:eastAsia="en-US" w:bidi="ar-SA"/>
        </w:rPr>
      </w:pPr>
    </w:p>
    <w:tbl>
      <w:tblPr>
        <w:tblpPr w:leftFromText="187" w:rightFromText="187" w:vertAnchor="page" w:horzAnchor="margin" w:tblpX="1" w:tblpY="13830"/>
        <w:tblW w:w="5000" w:type="pct"/>
        <w:tblBorders>
          <w:top w:val="single" w:sz="4" w:space="0" w:color="000000"/>
        </w:tblBorders>
        <w:tblLook w:val="04A0"/>
      </w:tblPr>
      <w:tblGrid>
        <w:gridCol w:w="9821"/>
      </w:tblGrid>
      <w:tr w:rsidR="002B6731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731" w:rsidRDefault="006C6EFF">
            <w:pPr>
              <w:jc w:val="center"/>
              <w:rPr>
                <w:rFonts w:ascii="Calibri" w:eastAsia="Times New Roman" w:hAnsi="Calibri" w:cs="Times New Roman"/>
                <w:b/>
                <w:caps/>
                <w:color w:val="000000"/>
                <w:sz w:val="28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000000"/>
                <w:sz w:val="28"/>
                <w:szCs w:val="20"/>
                <w:shd w:val="clear" w:color="auto" w:fill="FFFFFF"/>
                <w:lang w:eastAsia="en-US" w:bidi="ar-SA"/>
              </w:rPr>
              <w:t>chorzów, 14 listopada 2024 r.</w:t>
            </w:r>
          </w:p>
        </w:tc>
      </w:tr>
    </w:tbl>
    <w:p w:rsidR="002B6731" w:rsidRDefault="006C6EFF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  <w:br w:type="page"/>
      </w: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  <w:lastRenderedPageBreak/>
        <w:t>OBJAŚNIENIA DO WIELOLETNIEJ PROGNOZY FINANSOWEJ MIASTA CHORZÓW</w:t>
      </w:r>
    </w:p>
    <w:p w:rsidR="002B6731" w:rsidRDefault="006C6EFF">
      <w:pPr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  <w:t>NA LATA 2025-2028</w:t>
      </w:r>
    </w:p>
    <w:p w:rsidR="002B6731" w:rsidRDefault="002B673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Wieloletnia Prognoza Finansowa Miasta Chorzów została sporządzona w oparciu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br/>
        <w:t>o przepisy wynikające z ustawy z dnia 27 sierpnia 2009 r. o finansach publicznych (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t.j. Dz.U. z 2024 r. poz.1530 z późn. zm.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) oraz rozporządzenia Ministra Finansów z dnia 10 stycznia 2013 r. w sprawie wieloletniej prognozy finansowej jednostki samorządu terytorialnego (t.j. Dz. U. z 2021 r. poz. 83 ).</w:t>
      </w:r>
      <w:r>
        <w:rPr>
          <w:rFonts w:ascii="Calibri" w:eastAsia="Times New Roman" w:hAnsi="Calibri" w:cs="Times New Roman"/>
          <w:color w:val="FF0000"/>
          <w:szCs w:val="20"/>
          <w:shd w:val="clear" w:color="auto" w:fill="FFFFFF"/>
          <w:lang w:eastAsia="en-US" w:bidi="ar-SA"/>
        </w:rPr>
        <w:t xml:space="preserve"> </w:t>
      </w:r>
      <w:r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en-US" w:bidi="ar-SA"/>
        </w:rPr>
        <w:t>W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ielkości  przyjęte  w  Wieloletniej  Prognozie  Finansowej  są  prezentowane  zgodnie  ze   wzorem określonym  w załączniku  nr  1  do  cytowanego wyżej  rozporządzenia  Ministra  Finansów, Inwestycji i Rozwoju zawiera wszystkie elementy wyszczególnione w przepisach. Okres na jaki przyjmuje się Wieloletnią Prognozę Finansową to lata, w których zaplanowane są do realizacji przedsięwzięcia. Pozycje w Tabeli I. Wieloletnia Prognoza Finansowa Miasta Chorzów to pozycje niezwiązane z zaciągniętymi lub planowanymi do zaciągnięcia zobowiązaniami dłużnymi zaplanowano zgodnie z art.227 ust. 1 ustawy o finansach publicznych, na okres roku budżetowego oraz trzech kolejnych lat budżetowych tj. do 2028. Pozostałe pozycje planowane zostały w perspektywie do roku 2052.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Przy tworzeniu tego dokumentu priorytetem dla Miasta było wyasygnowanie jak największych środków na realizację przedsięwzięć inwestycyjnych. Stąd wśród przedsięwzięć wyszczególniono przede wszystkim długookresowe projekty inwestycyjne realizowane z udziałem środków pozyskanych ze źródeł zewnętrznych, głównie z Rządowego Funduszu Polski Ład, Rządowego Funduszu Dróg Samorządowych, ze środków Unii Europejskiej lub finansowane tylko ze środków własnych. Opracowana prognoza pozwoli na ocenę możliwości finansowych Miasta przy aplikowaniu o kolejne środki w perspektywie finansowej Fundusze Europejskie dla Śląskiego 2021-2027r.</w:t>
      </w:r>
    </w:p>
    <w:p w:rsidR="002B6731" w:rsidRDefault="006C6EFF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Przygotowując prognozę na lata 2025 – 2052 </w:t>
      </w:r>
      <w:r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  <w:t>wykorzystana została projekcja inflacji i PKB (według opublikowanej na stronie Ministerstwa Finansów wytycznych dotyczących stosowania jednolitych wskaźników makroekonomicznych będących podstawą oszacowania skutków finansowych projektowanych ustaw – aktualizacja w październiku 2024 r.). Wartości te ilustruje poniższa tabela.</w:t>
      </w: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</w:p>
    <w:p w:rsidR="002B6731" w:rsidRDefault="006C6EFF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  <w:lastRenderedPageBreak/>
        <w:t>Tabela nr 1 Podstawowe wskaźniki makroekonomiczne nalata 2023-2028 r.</w:t>
      </w:r>
    </w:p>
    <w:p w:rsidR="002B6731" w:rsidRDefault="006C6EFF">
      <w:pPr>
        <w:widowControl w:val="0"/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zh-CN" w:eastAsia="zh-CN" w:bidi="zh-CN"/>
        </w:rPr>
      </w:pPr>
      <w:r>
        <w:rPr>
          <w:noProof/>
          <w:lang w:bidi="ar-SA"/>
        </w:rPr>
        <w:drawing>
          <wp:inline distT="0" distB="0" distL="0" distR="0">
            <wp:extent cx="5756910" cy="64033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40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31" w:rsidRDefault="006C6EFF">
      <w:pPr>
        <w:widowControl w:val="0"/>
        <w:suppressAutoHyphens/>
        <w:spacing w:line="360" w:lineRule="auto"/>
        <w:rPr>
          <w:rFonts w:eastAsia="Times New Roman" w:cs="Times New Roman"/>
          <w:color w:val="000000"/>
          <w:sz w:val="18"/>
          <w:szCs w:val="20"/>
          <w:shd w:val="clear" w:color="auto" w:fill="FFFFFF"/>
          <w:lang w:val="zh-CN" w:eastAsia="zh-CN" w:bidi="zh-CN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zh-CN" w:eastAsia="zh-CN" w:bidi="zh-CN"/>
        </w:rPr>
        <w:t xml:space="preserve">Źródło. </w:t>
      </w:r>
      <w:hyperlink r:id="rId13" w:history="1">
        <w:r>
          <w:rPr>
            <w:rFonts w:eastAsia="Times New Roman" w:cs="Times New Roman"/>
            <w:color w:val="0000FF"/>
            <w:sz w:val="18"/>
            <w:szCs w:val="20"/>
            <w:u w:val="single"/>
            <w:shd w:val="clear" w:color="auto" w:fill="FFFFFF"/>
            <w:lang w:val="zh-CN" w:eastAsia="zh-CN" w:bidi="zh-CN"/>
          </w:rPr>
          <w:t>www.gov.pl</w:t>
        </w:r>
      </w:hyperlink>
    </w:p>
    <w:p w:rsidR="002B6731" w:rsidRDefault="002B6731">
      <w:pPr>
        <w:widowControl w:val="0"/>
        <w:suppressAutoHyphens/>
        <w:spacing w:line="360" w:lineRule="auto"/>
        <w:rPr>
          <w:rFonts w:eastAsia="Times New Roman" w:cs="Times New Roman"/>
          <w:color w:val="000000"/>
          <w:sz w:val="18"/>
          <w:szCs w:val="20"/>
          <w:shd w:val="clear" w:color="auto" w:fill="FFFFFF"/>
          <w:lang w:val="zh-CN" w:eastAsia="zh-CN" w:bidi="zh-CN"/>
        </w:rPr>
      </w:pPr>
    </w:p>
    <w:p w:rsidR="002B6731" w:rsidRDefault="006C6EFF">
      <w:pPr>
        <w:spacing w:line="360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Opierając się na danych historycznych, przewidywanego wykonania za rok 2024 oraz  analizie zmian w przepisach pod kątem ich wpływu na sytuację finansową Miasta w 2025 roku oraz w latach następnych, a także biorąc pod uwagę wcześniej opisane prognozy  makroekonomiczne zaprognozowano poszczególne źródła dochodów oraz grupy wydatków.</w:t>
      </w:r>
    </w:p>
    <w:p w:rsidR="002B6731" w:rsidRDefault="002B6731">
      <w:pPr>
        <w:spacing w:line="360" w:lineRule="auto"/>
        <w:ind w:firstLine="360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Dochody i wydatki w Wieloletniej Prognozie Finansowej prognozowane są w podziale na dochody bieżące i majątkowe, a dochody dodatkowo wg źródeł. W roku 2025 kwoty zostały przyjęte zgodnie z projektem budżetu, natomiast w latach następnych zostały zaplanowane wg poniższych założeń:</w:t>
      </w:r>
    </w:p>
    <w:p w:rsidR="002B6731" w:rsidRDefault="006C6EFF">
      <w:pPr>
        <w:pBdr>
          <w:bottom w:val="single" w:sz="4" w:space="1" w:color="auto"/>
        </w:pBd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Dochody bieżące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Udziały we wpływach w podatku dochodowym  od osób fizycznych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- wpływy z  tego źródła w roku  2025 przyjęte w prognozie kwoty wynikają z  informacji otrzymanych z Ministerstwa Finansów, w latach 2026 – 2029 zaplanowano w oparciu o wzrost PKB przyjęty w założeniach makroekonomicznych  powiększony o 1,5% w 2026 r. oraz 1 % w latach 2027-2029. Wzrost dochodów z tytułu udziałów wynika również z informacji przekazanych przez Wydział Architektury i Budownictwa wskazujący na rosnące zainteresowanie budową nowych mieszkań – zarówno w ramach budownictwa wielomieszkaniowego, jak i indywidulanego.  W pierwszej połowie 2024 r. wydano 5 pozwoleń na budowę dla budynków mieszkalnych wielorodzinnych, w których zaprojektowano łącznie 695 mieszkań o zróżnicowanej powierzchni mieszkalnej oraz 6 pozwoleń na budowę dla budynków mieszkalnych jednorodzinnych, w których zaprojektowano łącznie 50 mieszkań o zróżnicowanej powierzchni mieszkalnej. </w:t>
      </w:r>
    </w:p>
    <w:p w:rsidR="002B6731" w:rsidRDefault="002B6731">
      <w:pPr>
        <w:spacing w:after="120"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Udziały we wpływach w podatku dochodowym  od osób prawnych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- wpływy z  tego źródła w roku  </w:t>
      </w:r>
    </w:p>
    <w:p w:rsidR="002B6731" w:rsidRDefault="006C6EFF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2025 przyjęte w prognozie kwoty wynikają z  informacji otrzymanych z Ministerstwa Finansów, w latach 2026 – 2029 zaplanowano w oparciu o wzrost PKB przyjęty w założeniach makroekonomicznych powiększony o 3%.</w:t>
      </w:r>
      <w:r>
        <w:rPr>
          <w:rFonts w:eastAsia="Times New Roman" w:cs="Times New Roman"/>
          <w:color w:val="FF0000"/>
          <w:szCs w:val="20"/>
          <w:shd w:val="clear" w:color="auto" w:fill="FFFFFF"/>
        </w:rPr>
        <w:t xml:space="preserve"> </w:t>
      </w:r>
    </w:p>
    <w:p w:rsidR="002B6731" w:rsidRDefault="002B6731">
      <w:pPr>
        <w:spacing w:line="360" w:lineRule="auto"/>
        <w:rPr>
          <w:rFonts w:eastAsia="Times New Roman" w:cs="Times New Roman"/>
          <w:b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Subwencje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-  prognoza  obejmuje  część  oświatową, równoważącą i wyrównawczą  subwencji  ogólnej. W roku  2025 przyjęte w prognozie kwoty wynikają z  informacji otrzymanych z Ministerstwa Finansów, w latach 2026 – 2029 zaplanowano w oparciu o wzrost PKB przyjęty w założeniach makroekonomicznych  powiększony o 1,5% w 2026 r. oraz 1 % w latach 2027-2029.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Dotacje i środki przeznaczone na cele bieżące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– na dochody z tego źródła składają się dotacje celowe z budżetu państwa, dotacje z funduszy celowych, środki pochodzące z budżetu Unii Europejskiej.</w:t>
      </w:r>
    </w:p>
    <w:p w:rsidR="002B6731" w:rsidRDefault="006C6EFF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Dotacje celowe z budżetu państwa na rok 2025 przyjęto zgodnie z otrzymaną decyzja Wojewody Śląskiego. </w:t>
      </w:r>
    </w:p>
    <w:p w:rsidR="002B6731" w:rsidRDefault="006C6EFF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lang w:eastAsia="en-US" w:bidi="ar-SA"/>
        </w:rPr>
        <w:t xml:space="preserve">Dotacje na realizację programów z udziałem środków europejskich, zostały przyjęte zgodnie z zawartymi umowami o dofinansowanie i dotyczą projektów realizowanych przez Miasto. </w:t>
      </w:r>
    </w:p>
    <w:p w:rsidR="002B6731" w:rsidRDefault="002B6731">
      <w:pPr>
        <w:spacing w:line="360" w:lineRule="auto"/>
        <w:rPr>
          <w:rFonts w:eastAsia="Times New Roman" w:cs="Times New Roman"/>
          <w:b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Dochody z podatku od nieruchomości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- wysokość dochodów uzyskiwanych z tego najważniejszego</w:t>
      </w:r>
    </w:p>
    <w:p w:rsidR="002B6731" w:rsidRDefault="006C6EFF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źródła podatków lokalnych zależy od obowiązujących stawek, jak również od wielkości bazy podatkowej, w tym inwestycji realizowanych w mieście. W Wieloletniej Prognozie Finansowej wpływy z tego podatku po roku 2025 zaplanowano przyjmując coroczny wzrost o wskaźnik PKB. Szacowane wpływy z podatku od nieruchomości uzasadnia się również dużym prawdopodobieństwem wygrania spraw tożsamych z już pozytywnie rozstrzygniętą przez SKO spraw w roku bieżącym. Miasto spodziewa się również wzrostu wpływy z w/w podatku w kolejnych latach w związku z dużą inwestycją trwającą na jego terenie przy rozbudowywanej DK 79 oraz inwestycją w Parku Śląskim.</w:t>
      </w:r>
      <w:r>
        <w:rPr>
          <w:rFonts w:eastAsia="Times New Roman" w:cs="Times New Roman"/>
          <w:color w:val="FF0000"/>
          <w:szCs w:val="20"/>
          <w:shd w:val="clear" w:color="auto" w:fill="FFFFFF"/>
        </w:rPr>
        <w:t xml:space="preserve"> 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 xml:space="preserve">Szacując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pozostałe dochody bieżące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wzięto pod uwagę dane historyczne, przewidywane wykonanie za 2024 rok oraz dane przekazane przez jednostki organizacyjne Miasta i Wydziały merytoryczne Urzędu Miasta Chorzów. Wpływy z podatku od czynności cywilno-prawnych przyjęto zakładając wzrost o wskaźnik PKB, natomiast w przypadku pozostałych podatków założono wzrost o wskaźnik inflacji.</w:t>
      </w:r>
    </w:p>
    <w:p w:rsidR="002B6731" w:rsidRDefault="002B673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B6731" w:rsidRDefault="002B673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Dochody bieżące od roku 2029 do roku 2052 zostały przyjęte na stałym poziomie 1.034.004.157,64 zł. </w:t>
      </w:r>
    </w:p>
    <w:p w:rsidR="002B6731" w:rsidRDefault="006C6EFF">
      <w:pPr>
        <w:shd w:val="clear" w:color="auto" w:fill="FFFFFF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Sumarycznie, wzrost dochodów zaprognozowano w oparciu o informację Ministerstwa Finansów zawartą w uzasadnieniu do prezentowanego projektu nowej ustawy o dochodach jst, z którego wynika, że: „MF szacuje, że dochody JST po wprowadzeniu nowej ustawy, wzrosną w 2025 r. o 16 mld zł w stosunku do obowiązującego systemu, w którym skalkulowana jest już na 2025 rok subwencja rozwojowa w wysokości 3,5 mld zł.</w:t>
      </w:r>
    </w:p>
    <w:p w:rsidR="002B6731" w:rsidRDefault="006C6EFF">
      <w:pPr>
        <w:shd w:val="clear" w:color="auto" w:fill="FFFFFF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Dochody JST w 2025 r. będą tym samym wyższe o 35,2 mld zł w stosunku do dochodów z roku 2024; a w perspektywie najbliższej dekady dochody JST wzrosną o ponad 230 mld zł.</w:t>
      </w:r>
    </w:p>
    <w:p w:rsidR="002B6731" w:rsidRDefault="006C6EFF">
      <w:pPr>
        <w:shd w:val="clear" w:color="auto" w:fill="FFFFFF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Każdy samorząd będzie miał zagwarantowane wyższe dochody niż obecnie.”</w:t>
      </w: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pBdr>
          <w:bottom w:val="single" w:sz="4" w:space="1" w:color="auto"/>
        </w:pBd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Dochody majątkowe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Dochody ze sprzedaży majątku - 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których główną pozycję stanowią wpływy z tytułu odpłatnego nabycia prawa własności oraz prawa użytkowania wieczystego nieruchomości zaplanowano według szczegółowego zestawienia, obejmującego budynki i grunty przygotowane do sprzedaży w perspektywie do roku 2029. W zestawieniu tym uwzględniono m.in. nieruchomości gruntowe znajdujące się w Chorzowie przy ulicach Kruszcowej, Łagiewnickiej, Siemianowickiej, Legnickiej, Głównej. Ponadto przewiduje się dochody ze sprzedaży lokali mieszkalnych na rzecz głównych najemców.</w:t>
      </w:r>
    </w:p>
    <w:p w:rsidR="002B6731" w:rsidRDefault="002B6731">
      <w:pPr>
        <w:spacing w:line="360" w:lineRule="auto"/>
        <w:rPr>
          <w:rFonts w:eastAsia="Times New Roman" w:cs="Times New Roman"/>
          <w:b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Dotacje i środki przeznaczone na inwestycje –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 tym: dotacje na realizację programów z udziałem środków europejskich, dotacje z Rządowego Funduszu Polski Ład zostały przyjęte w okresie objętym Wieloletnią Prognozą Finansową zgodnie ze złożonymi wnioskami bądź zawartymi umowami o dofinansowanie i dotyczą przedsięwzięć wieloletnich realizowanych przez Miasto Chorzów.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Dochody majątkowe od roku 2030 do roku 2049 zostały przyjęte na stałym poziomie 6.000.000,00 zł z tytułu sprzedaży majątku.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FF0000"/>
          <w:szCs w:val="20"/>
          <w:shd w:val="clear" w:color="auto" w:fill="FFFFFF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 xml:space="preserve">Wykres nr 1. Poziom dochodów bieżących i dochodów majątkowych w poszczególnych latach. </w:t>
      </w:r>
    </w:p>
    <w:p w:rsidR="002B6731" w:rsidRDefault="006C6EFF">
      <w:pPr>
        <w:spacing w:line="360" w:lineRule="auto"/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4511675" cy="270065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31" w:rsidRDefault="006C6EFF">
      <w:pPr>
        <w:spacing w:line="360" w:lineRule="auto"/>
        <w:rPr>
          <w:rFonts w:eastAsia="Times New Roman" w:cs="Times New Roman"/>
          <w:color w:val="FF0000"/>
          <w:sz w:val="16"/>
          <w:szCs w:val="20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  <w:t>Źródło. Opracowanie własne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</w:p>
    <w:p w:rsidR="002B6731" w:rsidRDefault="006C6EFF">
      <w:pPr>
        <w:pBdr>
          <w:bottom w:val="single" w:sz="4" w:space="1" w:color="auto"/>
        </w:pBd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Wydatki bieżące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Wysokość wydatków bieżących ustalono w Wieloletniej Prognozie Finansowej w oparciu o analizę wydatków na zadania obligatoryjne, zaciągniętych i planowanych do zaciągnięcia zobowiązań oraz możliwości finansowe Miasta Chorzów. W prognozie przyjęto coroczny wzrost niezbędnych wydatków bieżących o wskaźnik inflacji, za wyjątkiem niżej wymienionych pozycji:</w:t>
      </w:r>
    </w:p>
    <w:p w:rsidR="002B6731" w:rsidRDefault="006C6EFF">
      <w:pPr>
        <w:numPr>
          <w:ilvl w:val="0"/>
          <w:numId w:val="2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Wydatki z tytułu poręczeń i gwarancji wynikają z zawartych w latach ubiegłych umów poręczenia,</w:t>
      </w:r>
    </w:p>
    <w:p w:rsidR="002B6731" w:rsidRDefault="006C6EFF">
      <w:pPr>
        <w:numPr>
          <w:ilvl w:val="0"/>
          <w:numId w:val="2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Wydatki na obsługę długu uwzględniają:</w:t>
      </w:r>
    </w:p>
    <w:p w:rsidR="002B6731" w:rsidRDefault="006C6EFF">
      <w:pPr>
        <w:numPr>
          <w:ilvl w:val="0"/>
          <w:numId w:val="3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odsetki od   pożyczek   zarówno  zaciągniętych,  jak i planowanej do zaciągnięcia w WFOŚiGW we wszystkich latach prognozy, wyliczane są na podstawie szczegółowych harmonogramów spłat.</w:t>
      </w:r>
    </w:p>
    <w:p w:rsidR="002B6731" w:rsidRDefault="006C6EFF">
      <w:pPr>
        <w:numPr>
          <w:ilvl w:val="0"/>
          <w:numId w:val="3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Odsetki od transz kredytu Europejskiego Banku Inwestycyjnego uwzględniając WIBOR 3M oraz marżę Banku, zakładając wzrost wskaźnika WIBOR lub stałe oprocentowanie w latach następnych. </w:t>
      </w:r>
    </w:p>
    <w:p w:rsidR="002B6731" w:rsidRDefault="006C6EFF">
      <w:pPr>
        <w:numPr>
          <w:ilvl w:val="0"/>
          <w:numId w:val="3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Od roku 2025 w wydatkach na  obsługę długu uwzględniono także koszty odsetek od planowanych do zaciągnięcia zobowiązań m.in. z tytułu kredytu w Europejskim Banku Inwestycyjnym.</w:t>
      </w:r>
    </w:p>
    <w:p w:rsidR="002B6731" w:rsidRDefault="006C6EFF">
      <w:pPr>
        <w:numPr>
          <w:ilvl w:val="0"/>
          <w:numId w:val="2"/>
        </w:numPr>
        <w:spacing w:line="360" w:lineRule="auto"/>
        <w:ind w:left="709" w:hanging="283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Wydatki związane z projektami współfinansowanymi ze środków unijnych lub innych źródeł zewnętrznych zaplanowano zgodnie z zawartymi umowami bądź złożonymi wnioskami o dofinansowanie.</w:t>
      </w:r>
    </w:p>
    <w:p w:rsidR="002B6731" w:rsidRDefault="006C6EFF">
      <w:pPr>
        <w:numPr>
          <w:ilvl w:val="0"/>
          <w:numId w:val="2"/>
        </w:numPr>
        <w:spacing w:line="360" w:lineRule="auto"/>
        <w:ind w:left="709" w:hanging="283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Wydatki z tytułu świadczeń na rzecz osób fizycznych zwiększono o wskaźnik inflacji pomniejszony o 1%.</w:t>
      </w:r>
    </w:p>
    <w:p w:rsidR="002B6731" w:rsidRDefault="002B673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Przy ustalaniu wydatków bieżących przyjęto konieczność ich ograniczenia, lub przynajmniej zahamowania wzrostu (m.in. zmniejszono wydatki na remonty, bieżące naprawy, wprowadzono rozwiązania zmierzające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do oszczędności energetycznej, zaplanowano restrukturyzację zatrudnienia zarówno w Urzędzie, jak i w jednostkach organizacyjnych). Działanie takie zostało wymuszone ustawowym ograniczeniem dochodów jst co bezpośrednio rzutuje na projektowanie możliwości wydatkowych.  Wydatki bieżące od roku 2029 zostały przyjęte na stały na poziomie.</w:t>
      </w:r>
    </w:p>
    <w:p w:rsidR="002B6731" w:rsidRDefault="002B6731">
      <w:pPr>
        <w:spacing w:line="360" w:lineRule="auto"/>
        <w:ind w:left="709"/>
        <w:contextualSpacing/>
        <w:rPr>
          <w:rFonts w:eastAsia="Times New Roman" w:cs="Times New Roman"/>
          <w:color w:val="FF0000"/>
          <w:szCs w:val="20"/>
        </w:rPr>
      </w:pPr>
    </w:p>
    <w:p w:rsidR="002B6731" w:rsidRDefault="006C6EFF">
      <w:pPr>
        <w:pBdr>
          <w:bottom w:val="single" w:sz="4" w:space="1" w:color="auto"/>
        </w:pBd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Wydatki majątkowe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Przyjęte w prognozie wielkości wydatków majątkowych wynikają z Wykazu przedsięwzięć do WPF, powiększonego o wydatki na inwestycje roczne. 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Struktura Wieloletniej Prognozy Finansowej Miasta Chorzów pokazuje, że priorytetem dla budżetu jest dążenie do maksymalizacji nadwyżki operacyjnej tak, aby Miasto mogło realizować zaplanowane kolejne inwestycje przy zachowaniu pozytywnej relacji z art. 243 Ustawy o finansach publicznych.</w:t>
      </w: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Przedsięwzięcia w Wieloletniej Prognozie Finansowej określone są na lata 2025 - 2041.</w:t>
      </w:r>
      <w:r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Wydatki na przedsięwzięcia w roku 2025 wynoszą 101.009.345,76 zł, w tym wydatki bieżące 7.207.902,70 zł. Wydatki majątkowe natomiast wynoszą 93.801.443,06 zł. Wydatki na programy, projekty lub zadania związane z programami realizowanymi z udziałem środków, o których mowa w art. 5 ust. 1 pkt 2 i 3 ustawy z dnia 27 sierpnia 2009r. o finansach publicznych wynoszą 4.624.748,20 zł.</w:t>
      </w: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Bieżące wydatki  na programy, projekty lub zadania związane z programami realizowanymi z udziałem środków, o których mowa w art. 5 ust. 1 pkt 2 i 3 ustawy z dnia 27 sierpnia 2009r. o finansach publicznych w głównej mierze to projekty realizowane przez jednostki oświatowe.</w:t>
      </w: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 ramach majątkowych wydatków  na programy, projekty lub zadania związane z programami realizowanymi z udziałem środków, o których mowa w art. 5 ust. 1 pkt 2 i 3 ustawy z dnia 27 sierpnia 2009r. o finansach uwzględnione są m. in. inwestycje „Dostosowanie obiektu przy ul. Kochanowskiego 18 na potrzeby żłobka” oraz „Zwiększenie cyberbezpieczeństwa w Chorzowie”.</w:t>
      </w: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 grupie III ujęto pozostałe wydatki majątkowe, wśród których najistotniejsze inwestycje zarówno w roku 2025 jak i latach następnych to inwestycje realizowane przez Wydział Inwestycji Komunalnych m. in., „Rozbudowa drogi krajowej DK79 na odcinku od estakady do ul. 3-go Maja w Chorzowie, w ramach inwestycji: Budowa przystanku zintegrowanego Królewska Huta w rejonie ul. Metalowców i Krakusa w Chorzowie wraz z przebudową układu torowego, skomunikowaniem oraz uzbrojeniem terenów poprzemysłowych”, „Budowa Wodnego placu Zabaw przy ul. Granicznej w Chorzowie”. Miejski Zarząd Ulic i Mostów zrealizuje m. in., Budowa przedłużenia ul. Bojarskiego do skrzyżowania z ul. Siemianowicką do ul. Bytkowskiej, Budowa ścieżki rowerowej przy ul. Astrów, Opracowanie programu funkcjonalno-użytkowego  dla rozbudowy systemu ITS. W  Miejskim Ośrodku Rekreacji i Sportu m.in. Budowa zadaszenia  pneumatycznego nad boiskiem piłkarskim przy ul. Wolności w Chorzowie. Największą planowaną inwestycją w Wieloletniej Prognozie Finansowej jest „Przebudowa stadionu piłkarskiego przy ul. Cichej 6 w Chorzowie, obejmująca rozbudowę stadionu wraz z parkingami oraz infrastrukturą techniczną”</w:t>
      </w: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lastRenderedPageBreak/>
        <w:t xml:space="preserve">Wykres nr 2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Poziom wydatków bieżących i wydatków majątkowych w poszczególnych latach. </w:t>
      </w:r>
    </w:p>
    <w:p w:rsidR="002B6731" w:rsidRDefault="006C6EFF">
      <w:pPr>
        <w:spacing w:line="360" w:lineRule="auto"/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4511675" cy="270065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31" w:rsidRDefault="006C6EFF">
      <w:pPr>
        <w:spacing w:line="360" w:lineRule="auto"/>
        <w:rPr>
          <w:rFonts w:eastAsia="Times New Roman" w:cs="Times New Roman"/>
          <w:color w:val="FF0000"/>
          <w:sz w:val="16"/>
          <w:szCs w:val="20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  <w:t>Źródło. Opracowanie własne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Kwota długu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w poszczególnych latach wykazana jest w pozycji 6 załącznika nr 1 do uchwały, jego spłata planowana jest z dochodów bieżących. Relacja planowanej łącznej kwoty spłat zobowiązań, o której mowa w art. 243 ust. 1 uofp do dochodów  jest spełniona. </w:t>
      </w:r>
    </w:p>
    <w:p w:rsidR="002B6731" w:rsidRDefault="002B6731">
      <w:pPr>
        <w:spacing w:line="360" w:lineRule="auto"/>
        <w:ind w:firstLine="708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Do ustalenia relacji określonej w art. 243 ust. 1 ustawy o finansach publicznych na lata 2022-2025 przyjęto okres siedmiu lat do wyliczenia średniej arytmetycznej relacji dochodów bieżących powiększonych o dochody ze sprzedaży majątku oraz pomniejszonych o wydatki bieżące do dochodów bieżących budżetu zgodnie z Zarządzeniem BA.171.2021 Prezydenta Miasta Chorzów z dnia 16 grudnia 2021r.</w:t>
      </w:r>
    </w:p>
    <w:p w:rsidR="002B6731" w:rsidRDefault="002B673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Poniższe wykresy przedstawiają relację wynikającą z indywidualnego wskaźnika zadłużenia – wykres nr 3 oraz relację kwoty długu do dochodów ogółem – wykres nr 4.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 w:val="18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rPr>
          <w:rFonts w:eastAsia="Times New Roman" w:cs="Times New Roman"/>
          <w:color w:val="FF0000"/>
          <w:sz w:val="18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lastRenderedPageBreak/>
        <w:t xml:space="preserve">Wykres nr 3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Relacja wynikająca z art. 243 Uofp. </w:t>
      </w:r>
    </w:p>
    <w:p w:rsidR="002B6731" w:rsidRDefault="006C6EFF">
      <w:pPr>
        <w:spacing w:line="360" w:lineRule="auto"/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4505325" cy="316992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31" w:rsidRDefault="006C6EFF">
      <w:pPr>
        <w:spacing w:line="360" w:lineRule="auto"/>
        <w:rPr>
          <w:rFonts w:eastAsia="Times New Roman" w:cs="Times New Roman"/>
          <w:color w:val="FF0000"/>
          <w:sz w:val="16"/>
          <w:szCs w:val="20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  <w:t>Źródło. Opracowanie własne</w:t>
      </w:r>
    </w:p>
    <w:p w:rsidR="002B6731" w:rsidRDefault="002B6731">
      <w:pPr>
        <w:spacing w:line="360" w:lineRule="auto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Wykres nr 4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Relacja kwoty długu do dochodów ogółem. </w:t>
      </w:r>
    </w:p>
    <w:p w:rsidR="002B6731" w:rsidRDefault="006C6EFF">
      <w:pPr>
        <w:spacing w:line="360" w:lineRule="auto"/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4505325" cy="27559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31" w:rsidRDefault="006C6EFF">
      <w:pPr>
        <w:spacing w:line="360" w:lineRule="auto"/>
        <w:rPr>
          <w:rFonts w:eastAsia="Times New Roman" w:cs="Times New Roman"/>
          <w:color w:val="FF0000"/>
          <w:sz w:val="16"/>
          <w:szCs w:val="20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18"/>
          <w:szCs w:val="20"/>
          <w:shd w:val="clear" w:color="auto" w:fill="FFFFFF"/>
        </w:rPr>
        <w:t>Źródło. Opracowanie własne</w:t>
      </w:r>
    </w:p>
    <w:p w:rsidR="002B6731" w:rsidRDefault="002B6731">
      <w:pPr>
        <w:spacing w:line="360" w:lineRule="auto"/>
        <w:rPr>
          <w:rFonts w:eastAsia="Times New Roman" w:cs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rPr>
          <w:rFonts w:eastAsia="Times New Roman" w:cs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rPr>
          <w:rFonts w:eastAsia="Times New Roman" w:cs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9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Przychody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zostały zaplanowane zgodnie z planowanymi wydatkami majątkowymi przeznaczonymi na inwestycje.  W 2025 roku składają się z planowanej transzy kredytu oraz spłaty udzielonych pożyczek. W latach kolejnych zaplanowano przychody z tytułu kredytów przeznaczonych na finansowanie inwestycji.</w:t>
      </w:r>
    </w:p>
    <w:p w:rsidR="002B6731" w:rsidRDefault="002B6731">
      <w:pPr>
        <w:spacing w:line="360" w:lineRule="auto"/>
        <w:ind w:firstLine="709"/>
        <w:rPr>
          <w:rFonts w:eastAsia="Times New Roman" w:cs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2B6731" w:rsidRDefault="002B6731">
      <w:pPr>
        <w:spacing w:line="360" w:lineRule="auto"/>
        <w:ind w:firstLine="709"/>
        <w:rPr>
          <w:rFonts w:eastAsia="Times New Roman" w:cs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lastRenderedPageBreak/>
        <w:t>Rozchody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zostały zaplanowane zgodnie z już zaciągniętymi zobowiązaniami jak również z planowanymi do zaciągnięcia.</w:t>
      </w:r>
    </w:p>
    <w:p w:rsidR="002B6731" w:rsidRDefault="002B6731">
      <w:pPr>
        <w:spacing w:line="360" w:lineRule="auto"/>
        <w:jc w:val="left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Objaśnienia do upoważnień Zarządu do zaciągania zobowiązań</w:t>
      </w:r>
    </w:p>
    <w:p w:rsidR="002B6731" w:rsidRDefault="002B6731">
      <w:pPr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2B6731" w:rsidRDefault="006C6EFF">
      <w:pPr>
        <w:spacing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 treści uchwały o przyjęciu WPF znalazło się upoważnienie do zaciągania zobowiązań na wymienione zadania, jak również Rada Miasta upoważnia do zaciągania innych niż wymienione zobowiązań, z tytułu umów, których realizacja w roku budżetowym i w latach następnych jest niezbędna dla zapewnienia ciągłości funkcjonowania jednostki, i z których wynikające płatności wykraczają poza rok budżetowy. Jednocześnie określa się wysokość zabezpieczonych w 2025 roku środków na świadczenia pracownicze.</w:t>
      </w:r>
    </w:p>
    <w:p w:rsidR="002B6731" w:rsidRDefault="006C6EFF">
      <w:pPr>
        <w:keepNext/>
        <w:spacing w:after="480" w:line="360" w:lineRule="auto"/>
        <w:ind w:firstLine="708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 ramach upoważnień do zaciągania zobowiązań z tytułu umów, których realizacja w roku budżetowym i w latach następnych jest niezbędna do zapewnienia ciągłości działania jednostki z których wynikające płatności wykraczają poza rok budżetowy , przewiduje się zawarcie w roku 2025 umów dotyczących wsparcia rodziny i pieczy zastępczej, wsparcie osób wymagających częściowej lub całodobowej opieki, zapewnienie żywienia w placówkach, schronienie dla bezdomnych, zakup usług internetowo - telekomunikacyjnych i obsługi informatycznej, abonamenty i licencje, nadzory autorskie, transmisja danych, dostawa mediów, ubezpieczenie mienia, zapewnienie obsługi bankowej oraz usług o podobnym charakterze (w tym usług związanych z obrotem instrumentami finansowymi), usługi pocztowe, obsługa prawna, utrzymanie urządzeń inżynierii ruchu, usługi bieżącego utrzymania dróg, zieleni, czystości w mieście wraz z infrastrukturą towarzyszącą, usługi konwojowe, dowożenie uczniów, usługi specjalistyczne dotyczące bieżącego utrzymania mienia, w tym utrzymanie czystości pomieszczeń biurowych, usługi odbioru i zagospodarowania odpadów, realizacja obowiązków wynikających z ustawy w zakresie gospodarowania odpadami komunalnymi, zakup paliwa, monitoring i ochrona mienia, usługi w zakresie badań medycyny pracy, dostawa tablic rejestracyjnych, usługi usuwania pojazdów wraz z przewozem na parking strzeżony, usługi odśnieżania, zapewnienie opieki nad dziećmi do lat 3, usługi wytworzenia oraz dostarczenia dokumentacji i oznaczeń komunikacyjnych, umowy związane z montażem oświetlenia świątecznego, zapewnienie zajęć edukacyjnych dla dzieci z Chorzowa na terenie innych miast w związku z realizacją podstawy programowej, usługi prowadzenia schroniska dla bezdomnych zwierząt oraz opieki nad zwierzętami gospodarskimi i dzikimi, usługi związane z prowadzeniem odłowu z uśmierceniem oraz odstrzałem redukcyjnym zwierzyny łownej, profilaktyka oraz zapewnienie specjalistycznej pomocy lub/i wsparcia osobom z problemem uzależnień, rehabilitacja społeczna i zawodowa osób niepełnosprawnych, wystawianie kart zgonu i ustalanie jego przyczyny, opracowania redakcyjne, zakup, dostawa, kolportaż prasy , czasopism fachowych, informatorów miejskich, publikacja ogłoszeń w dzienniku regionalnym i ogólnopolskim, konserwacja i naprawa systemów alarmowych, realizacja zadań wynikających ze szczególnych rozwiązań ustawowych związanych z zapewnieniem źródeł ciepła dla mieszkańców, zabezpieczenie pobytu w związku z działaniami wojennymi, organizacja pochówku, usługi najmu niezbędne do realizacji zadań związanych z działalnością jednostki</w:t>
      </w:r>
      <w:r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t>.</w:t>
      </w:r>
    </w:p>
    <w:p w:rsidR="002B6731" w:rsidRDefault="006C6EFF">
      <w:pPr>
        <w:keepNext/>
        <w:spacing w:after="480" w:line="360" w:lineRule="auto"/>
        <w:ind w:firstLine="708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Katalog zadań ujęto w Zarządzeniu Nr BA.32A.2024 Prezydenta Miasta Chorzów z dnia 16 lutego 2024 r. o zmianie Zarządzenia Prezydenta Miasta Chorzów Nr BA.153.2021 z dnia 15 listopada 2021 roku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lastRenderedPageBreak/>
        <w:t>w sprawie określenia zakresu zadań, których realizacja w roku budżetowym i w latach następnych jest niezbędna do zapewnienia ciągłości działania jednostki,  i z których wynikające płatności wykraczają poza rok budżetowy.</w:t>
      </w:r>
    </w:p>
    <w:sectPr w:rsidR="002B6731" w:rsidSect="002B6731">
      <w:footerReference w:type="default" r:id="rId1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68" w:rsidRDefault="00A31268" w:rsidP="002B6731">
      <w:r>
        <w:separator/>
      </w:r>
    </w:p>
  </w:endnote>
  <w:endnote w:type="continuationSeparator" w:id="0">
    <w:p w:rsidR="00A31268" w:rsidRDefault="00A31268" w:rsidP="002B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673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6731" w:rsidRDefault="006C6EFF">
          <w:pPr>
            <w:jc w:val="left"/>
            <w:rPr>
              <w:sz w:val="18"/>
            </w:rPr>
          </w:pPr>
          <w:r>
            <w:rPr>
              <w:sz w:val="18"/>
            </w:rPr>
            <w:t>Id: 1F661B22-4B2B-467C-B2FA-49B56265FFDF.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6731" w:rsidRDefault="006C6E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6B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6B14">
            <w:rPr>
              <w:sz w:val="18"/>
            </w:rPr>
            <w:fldChar w:fldCharType="separate"/>
          </w:r>
          <w:r w:rsidR="00E24C59">
            <w:rPr>
              <w:noProof/>
              <w:sz w:val="18"/>
            </w:rPr>
            <w:t>1</w:t>
          </w:r>
          <w:r w:rsidR="00916B14">
            <w:rPr>
              <w:sz w:val="18"/>
            </w:rPr>
            <w:fldChar w:fldCharType="end"/>
          </w:r>
        </w:p>
      </w:tc>
    </w:tr>
  </w:tbl>
  <w:p w:rsidR="002B6731" w:rsidRDefault="002B673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673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6731" w:rsidRDefault="006C6EFF">
          <w:pPr>
            <w:jc w:val="left"/>
            <w:rPr>
              <w:sz w:val="18"/>
            </w:rPr>
          </w:pPr>
          <w:r>
            <w:rPr>
              <w:sz w:val="18"/>
            </w:rPr>
            <w:t>Id: 1F661B22-4B2B-467C-B2FA-49B56265FFDF.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6731" w:rsidRDefault="006C6E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6B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6B14">
            <w:rPr>
              <w:sz w:val="18"/>
            </w:rPr>
            <w:fldChar w:fldCharType="separate"/>
          </w:r>
          <w:r w:rsidR="00E24C59">
            <w:rPr>
              <w:noProof/>
              <w:sz w:val="18"/>
            </w:rPr>
            <w:t>1</w:t>
          </w:r>
          <w:r w:rsidR="00916B14">
            <w:rPr>
              <w:sz w:val="18"/>
            </w:rPr>
            <w:fldChar w:fldCharType="end"/>
          </w:r>
        </w:p>
      </w:tc>
    </w:tr>
  </w:tbl>
  <w:p w:rsidR="002B6731" w:rsidRDefault="002B673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2B6731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6731" w:rsidRDefault="006C6EFF">
          <w:pPr>
            <w:jc w:val="left"/>
            <w:rPr>
              <w:sz w:val="18"/>
            </w:rPr>
          </w:pPr>
          <w:r>
            <w:rPr>
              <w:sz w:val="18"/>
            </w:rPr>
            <w:t>Id: 1F661B22-4B2B-467C-B2FA-49B56265FFDF.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6731" w:rsidRDefault="006C6E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6B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6B14">
            <w:rPr>
              <w:sz w:val="18"/>
            </w:rPr>
            <w:fldChar w:fldCharType="separate"/>
          </w:r>
          <w:r w:rsidR="00E24C59">
            <w:rPr>
              <w:noProof/>
              <w:sz w:val="18"/>
            </w:rPr>
            <w:t>12</w:t>
          </w:r>
          <w:r w:rsidR="00916B14">
            <w:rPr>
              <w:sz w:val="18"/>
            </w:rPr>
            <w:fldChar w:fldCharType="end"/>
          </w:r>
        </w:p>
      </w:tc>
    </w:tr>
  </w:tbl>
  <w:p w:rsidR="002B6731" w:rsidRDefault="002B673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68" w:rsidRDefault="00A31268" w:rsidP="002B6731">
      <w:r>
        <w:separator/>
      </w:r>
    </w:p>
  </w:footnote>
  <w:footnote w:type="continuationSeparator" w:id="0">
    <w:p w:rsidR="00A31268" w:rsidRDefault="00A31268" w:rsidP="002B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8C8"/>
    <w:multiLevelType w:val="hybridMultilevel"/>
    <w:tmpl w:val="00000000"/>
    <w:lvl w:ilvl="0" w:tplc="A2E6FB5E">
      <w:start w:val="1"/>
      <w:numFmt w:val="decimal"/>
      <w:lvlText w:val="%1."/>
      <w:lvlJc w:val="left"/>
      <w:pPr>
        <w:ind w:left="720" w:hanging="360"/>
      </w:pPr>
    </w:lvl>
    <w:lvl w:ilvl="1" w:tplc="F47CC8D2">
      <w:start w:val="1"/>
      <w:numFmt w:val="lowerLetter"/>
      <w:lvlText w:val="%2."/>
      <w:lvlJc w:val="left"/>
      <w:pPr>
        <w:ind w:left="1440" w:hanging="360"/>
      </w:pPr>
    </w:lvl>
    <w:lvl w:ilvl="2" w:tplc="B46E6492">
      <w:start w:val="1"/>
      <w:numFmt w:val="lowerRoman"/>
      <w:lvlText w:val="%3."/>
      <w:lvlJc w:val="right"/>
      <w:pPr>
        <w:ind w:left="2160" w:hanging="180"/>
      </w:pPr>
    </w:lvl>
    <w:lvl w:ilvl="3" w:tplc="BB02B7F6">
      <w:start w:val="1"/>
      <w:numFmt w:val="decimal"/>
      <w:lvlText w:val="%4."/>
      <w:lvlJc w:val="left"/>
      <w:pPr>
        <w:ind w:left="2880" w:hanging="360"/>
      </w:pPr>
    </w:lvl>
    <w:lvl w:ilvl="4" w:tplc="D632C7C0">
      <w:start w:val="1"/>
      <w:numFmt w:val="lowerLetter"/>
      <w:lvlText w:val="%5."/>
      <w:lvlJc w:val="left"/>
      <w:pPr>
        <w:ind w:left="3600" w:hanging="360"/>
      </w:pPr>
    </w:lvl>
    <w:lvl w:ilvl="5" w:tplc="8646D25E">
      <w:start w:val="1"/>
      <w:numFmt w:val="lowerRoman"/>
      <w:lvlText w:val="%6."/>
      <w:lvlJc w:val="right"/>
      <w:pPr>
        <w:ind w:left="4320" w:hanging="180"/>
      </w:pPr>
    </w:lvl>
    <w:lvl w:ilvl="6" w:tplc="0512C890">
      <w:start w:val="1"/>
      <w:numFmt w:val="decimal"/>
      <w:lvlText w:val="%7."/>
      <w:lvlJc w:val="left"/>
      <w:pPr>
        <w:ind w:left="5040" w:hanging="360"/>
      </w:pPr>
    </w:lvl>
    <w:lvl w:ilvl="7" w:tplc="AE86CC4E">
      <w:start w:val="1"/>
      <w:numFmt w:val="lowerLetter"/>
      <w:lvlText w:val="%8."/>
      <w:lvlJc w:val="left"/>
      <w:pPr>
        <w:ind w:left="5760" w:hanging="360"/>
      </w:pPr>
    </w:lvl>
    <w:lvl w:ilvl="8" w:tplc="84869D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7AD2"/>
    <w:multiLevelType w:val="hybridMultilevel"/>
    <w:tmpl w:val="00000000"/>
    <w:lvl w:ilvl="0" w:tplc="51E6650A">
      <w:start w:val="1"/>
      <w:numFmt w:val="decimal"/>
      <w:lvlText w:val="%1)"/>
      <w:lvlJc w:val="left"/>
      <w:pPr>
        <w:ind w:left="720" w:hanging="360"/>
      </w:pPr>
    </w:lvl>
    <w:lvl w:ilvl="1" w:tplc="A732A902">
      <w:start w:val="1"/>
      <w:numFmt w:val="lowerLetter"/>
      <w:lvlText w:val="%2."/>
      <w:lvlJc w:val="left"/>
      <w:pPr>
        <w:ind w:left="1440" w:hanging="360"/>
      </w:pPr>
    </w:lvl>
    <w:lvl w:ilvl="2" w:tplc="529490F4">
      <w:start w:val="1"/>
      <w:numFmt w:val="lowerRoman"/>
      <w:lvlText w:val="%3."/>
      <w:lvlJc w:val="right"/>
      <w:pPr>
        <w:ind w:left="2160" w:hanging="180"/>
      </w:pPr>
    </w:lvl>
    <w:lvl w:ilvl="3" w:tplc="50F423D2">
      <w:start w:val="1"/>
      <w:numFmt w:val="decimal"/>
      <w:lvlText w:val="%4."/>
      <w:lvlJc w:val="left"/>
      <w:pPr>
        <w:ind w:left="2880" w:hanging="360"/>
      </w:pPr>
    </w:lvl>
    <w:lvl w:ilvl="4" w:tplc="94669A44">
      <w:start w:val="1"/>
      <w:numFmt w:val="lowerLetter"/>
      <w:lvlText w:val="%5."/>
      <w:lvlJc w:val="left"/>
      <w:pPr>
        <w:ind w:left="3600" w:hanging="360"/>
      </w:pPr>
    </w:lvl>
    <w:lvl w:ilvl="5" w:tplc="B5F6548A">
      <w:start w:val="1"/>
      <w:numFmt w:val="lowerRoman"/>
      <w:lvlText w:val="%6."/>
      <w:lvlJc w:val="right"/>
      <w:pPr>
        <w:ind w:left="4320" w:hanging="180"/>
      </w:pPr>
    </w:lvl>
    <w:lvl w:ilvl="6" w:tplc="9564A842">
      <w:start w:val="1"/>
      <w:numFmt w:val="decimal"/>
      <w:lvlText w:val="%7."/>
      <w:lvlJc w:val="left"/>
      <w:pPr>
        <w:ind w:left="5040" w:hanging="360"/>
      </w:pPr>
    </w:lvl>
    <w:lvl w:ilvl="7" w:tplc="617E947A">
      <w:start w:val="1"/>
      <w:numFmt w:val="lowerLetter"/>
      <w:lvlText w:val="%8."/>
      <w:lvlJc w:val="left"/>
      <w:pPr>
        <w:ind w:left="5760" w:hanging="360"/>
      </w:pPr>
    </w:lvl>
    <w:lvl w:ilvl="8" w:tplc="AE0EDA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5F02"/>
    <w:multiLevelType w:val="hybridMultilevel"/>
    <w:tmpl w:val="00000000"/>
    <w:lvl w:ilvl="0" w:tplc="930A86F4">
      <w:start w:val="1"/>
      <w:numFmt w:val="lowerLetter"/>
      <w:lvlText w:val="%1)"/>
      <w:lvlJc w:val="left"/>
      <w:pPr>
        <w:ind w:left="1080" w:hanging="360"/>
      </w:pPr>
    </w:lvl>
    <w:lvl w:ilvl="1" w:tplc="DDCC53BE">
      <w:start w:val="1"/>
      <w:numFmt w:val="lowerLetter"/>
      <w:lvlText w:val="%2."/>
      <w:lvlJc w:val="left"/>
      <w:pPr>
        <w:ind w:left="1800" w:hanging="360"/>
      </w:pPr>
    </w:lvl>
    <w:lvl w:ilvl="2" w:tplc="FEF215D6">
      <w:start w:val="1"/>
      <w:numFmt w:val="lowerRoman"/>
      <w:lvlText w:val="%3."/>
      <w:lvlJc w:val="right"/>
      <w:pPr>
        <w:ind w:left="2520" w:hanging="180"/>
      </w:pPr>
    </w:lvl>
    <w:lvl w:ilvl="3" w:tplc="2A926896">
      <w:start w:val="1"/>
      <w:numFmt w:val="decimal"/>
      <w:lvlText w:val="%4."/>
      <w:lvlJc w:val="left"/>
      <w:pPr>
        <w:ind w:left="3240" w:hanging="360"/>
      </w:pPr>
    </w:lvl>
    <w:lvl w:ilvl="4" w:tplc="9C668294">
      <w:start w:val="1"/>
      <w:numFmt w:val="lowerLetter"/>
      <w:lvlText w:val="%5."/>
      <w:lvlJc w:val="left"/>
      <w:pPr>
        <w:ind w:left="3960" w:hanging="360"/>
      </w:pPr>
    </w:lvl>
    <w:lvl w:ilvl="5" w:tplc="F6D4AD6C">
      <w:start w:val="1"/>
      <w:numFmt w:val="lowerRoman"/>
      <w:lvlText w:val="%6."/>
      <w:lvlJc w:val="right"/>
      <w:pPr>
        <w:ind w:left="4680" w:hanging="180"/>
      </w:pPr>
    </w:lvl>
    <w:lvl w:ilvl="6" w:tplc="A2A6518E">
      <w:start w:val="1"/>
      <w:numFmt w:val="decimal"/>
      <w:lvlText w:val="%7."/>
      <w:lvlJc w:val="left"/>
      <w:pPr>
        <w:ind w:left="5400" w:hanging="360"/>
      </w:pPr>
    </w:lvl>
    <w:lvl w:ilvl="7" w:tplc="1C5E9484">
      <w:start w:val="1"/>
      <w:numFmt w:val="lowerLetter"/>
      <w:lvlText w:val="%8."/>
      <w:lvlJc w:val="left"/>
      <w:pPr>
        <w:ind w:left="6120" w:hanging="360"/>
      </w:pPr>
    </w:lvl>
    <w:lvl w:ilvl="8" w:tplc="18303E2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6731"/>
    <w:rsid w:val="006C6EFF"/>
    <w:rsid w:val="00812FF8"/>
    <w:rsid w:val="00916B14"/>
    <w:rsid w:val="00A31268"/>
    <w:rsid w:val="00A77B3E"/>
    <w:rsid w:val="00BF1739"/>
    <w:rsid w:val="00CA2A55"/>
    <w:rsid w:val="00DC1FDD"/>
    <w:rsid w:val="00E10305"/>
    <w:rsid w:val="00E2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673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Bezodstpw">
    <w:name w:val="No Spacing"/>
    <w:basedOn w:val="Normalny"/>
    <w:rsid w:val="002B6731"/>
    <w:pPr>
      <w:jc w:val="left"/>
    </w:pPr>
    <w:rPr>
      <w:rFonts w:ascii="Calibri" w:eastAsia="Times New Roman" w:hAnsi="Calibri" w:cs="Times New Roman"/>
      <w:sz w:val="22"/>
      <w:szCs w:val="20"/>
    </w:rPr>
  </w:style>
  <w:style w:type="paragraph" w:styleId="Akapitzlist">
    <w:name w:val="List Paragraph"/>
    <w:basedOn w:val="Normalny"/>
    <w:rsid w:val="002B6731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eastAsia="en-US" w:bidi="ar-SA"/>
    </w:rPr>
  </w:style>
  <w:style w:type="paragraph" w:styleId="NormalnyWeb">
    <w:name w:val="Normal (Web)"/>
    <w:basedOn w:val="Normalny"/>
    <w:rsid w:val="002B6731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rsid w:val="00E1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1030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1.pdf" TargetMode="External"/><Relationship Id="rId13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www.gov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I%20sesj&#281;%20RM%20-%2017.12.2024%20r\1%20wysy&#322;ka_%203%20tygodnie%20przed%20sesj&#261;%20-%20komplety%20projekt&#243;w%20uchwa&#322;%20-%20bud&#380;et%202025\Zalacznik2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3077</Words>
  <Characters>18464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uchwalenia Wieloletniej Prognozy Finansowej Miasta Chorzów</dc:subject>
  <dc:creator>pietrzyk_e</dc:creator>
  <cp:lastModifiedBy>Elżbieta Pietrzyk</cp:lastModifiedBy>
  <cp:revision>2</cp:revision>
  <dcterms:created xsi:type="dcterms:W3CDTF">2024-12-12T06:58:00Z</dcterms:created>
  <dcterms:modified xsi:type="dcterms:W3CDTF">2024-12-12T06:58:00Z</dcterms:modified>
  <cp:category>Akt prawny</cp:category>
</cp:coreProperties>
</file>