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Pr="005830EE" w:rsidRDefault="00D7637E">
      <w:pPr>
        <w:ind w:left="5669"/>
        <w:jc w:val="left"/>
        <w:rPr>
          <w:rFonts w:eastAsia="Times New Roman"/>
          <w:b/>
          <w:i/>
          <w:szCs w:val="20"/>
          <w:u w:val="thick"/>
        </w:rPr>
      </w:pPr>
      <w:r w:rsidRPr="005830EE">
        <w:rPr>
          <w:rFonts w:eastAsia="Times New Roman"/>
          <w:b/>
          <w:i/>
          <w:szCs w:val="20"/>
          <w:u w:val="thick"/>
        </w:rPr>
        <w:t>Projekt</w:t>
      </w:r>
    </w:p>
    <w:p w:rsidR="00A77B3E" w:rsidRPr="005830EE" w:rsidRDefault="002B6D76">
      <w:pPr>
        <w:ind w:left="5669"/>
        <w:jc w:val="left"/>
        <w:rPr>
          <w:rFonts w:eastAsia="Times New Roman"/>
          <w:szCs w:val="20"/>
        </w:rPr>
      </w:pPr>
      <w:r>
        <w:rPr>
          <w:rFonts w:eastAsia="Times New Roman"/>
          <w:b/>
          <w:i/>
          <w:szCs w:val="20"/>
          <w:u w:val="thick"/>
        </w:rPr>
        <w:t>Druk nr 75</w:t>
      </w:r>
    </w:p>
    <w:p w:rsidR="00A77B3E" w:rsidRPr="005830EE" w:rsidRDefault="00A77B3E">
      <w:pPr>
        <w:ind w:left="5669"/>
        <w:jc w:val="left"/>
        <w:rPr>
          <w:rFonts w:eastAsia="Times New Roman"/>
          <w:szCs w:val="20"/>
        </w:rPr>
      </w:pPr>
    </w:p>
    <w:p w:rsidR="00A77B3E" w:rsidRPr="005830EE" w:rsidRDefault="00A77B3E">
      <w:pPr>
        <w:ind w:left="5669"/>
        <w:jc w:val="left"/>
        <w:rPr>
          <w:rFonts w:eastAsia="Times New Roman"/>
          <w:szCs w:val="20"/>
        </w:rPr>
      </w:pPr>
    </w:p>
    <w:p w:rsidR="00A77B3E" w:rsidRPr="005830EE" w:rsidRDefault="00D7637E">
      <w:pPr>
        <w:jc w:val="center"/>
        <w:rPr>
          <w:b/>
          <w:caps/>
          <w:szCs w:val="20"/>
        </w:rPr>
      </w:pPr>
      <w:r w:rsidRPr="005830EE">
        <w:rPr>
          <w:b/>
          <w:caps/>
          <w:szCs w:val="20"/>
        </w:rPr>
        <w:t>Uchwała Nr ....................</w:t>
      </w:r>
      <w:r w:rsidRPr="005830EE">
        <w:rPr>
          <w:b/>
          <w:caps/>
          <w:szCs w:val="20"/>
        </w:rPr>
        <w:br/>
        <w:t>Rady Miasta Chorzów</w:t>
      </w:r>
    </w:p>
    <w:p w:rsidR="00A77B3E" w:rsidRPr="005830EE" w:rsidRDefault="00D7637E">
      <w:pPr>
        <w:spacing w:before="280" w:after="280"/>
        <w:jc w:val="center"/>
        <w:rPr>
          <w:b/>
          <w:caps/>
          <w:szCs w:val="20"/>
        </w:rPr>
      </w:pPr>
      <w:r w:rsidRPr="005830EE">
        <w:rPr>
          <w:szCs w:val="20"/>
        </w:rPr>
        <w:t>z dnia .................... 2024 r.</w:t>
      </w:r>
    </w:p>
    <w:p w:rsidR="00A77B3E" w:rsidRPr="005830EE" w:rsidRDefault="00D7637E">
      <w:pPr>
        <w:keepNext/>
        <w:spacing w:after="480"/>
        <w:jc w:val="center"/>
        <w:rPr>
          <w:szCs w:val="20"/>
        </w:rPr>
      </w:pPr>
      <w:r w:rsidRPr="005830EE">
        <w:rPr>
          <w:b/>
          <w:szCs w:val="20"/>
        </w:rPr>
        <w:t>o zmianie uchwały Nr LXXI/1129/2023 Rady Miasta Chorzów z dnia 14 grudnia 2023 r. w sprawie uchwalenia Wieloletniej Prognozy Finansowej Miasta Chorzów</w:t>
      </w:r>
    </w:p>
    <w:p w:rsidR="00A77B3E" w:rsidRPr="005830EE" w:rsidRDefault="00D7637E">
      <w:pPr>
        <w:keepLines/>
        <w:spacing w:before="120" w:after="120"/>
        <w:ind w:firstLine="283"/>
        <w:rPr>
          <w:szCs w:val="20"/>
        </w:rPr>
      </w:pPr>
      <w:r w:rsidRPr="005830EE">
        <w:rPr>
          <w:szCs w:val="20"/>
        </w:rPr>
        <w:t>Na podstawie art.18 ust.2 pkt 15 ustawy z dnia 8 marca 1990 r. o samorządzie gminnym (t.j. Dz.U. z 2024 r. poz.609 z późn. zm.), art.12 pkt 11 w związku z art.92 ust.1 pkt 1 oraz ust. 2 ustawy z dnia 5 czerwca 1998 r. o samorządzie powiatowym (t.j. Dz.U. z 2024 r. poz.107), art.226, art.227, art.228, art.230 ust.6, art.231, art.232, art.242 ust.1 i art.243 ustawy z dnia 27 sierpnia 2009 r. o finansach publicznych (t.j. Dz.U. z 2023 r. poz.1270 z późn. zm.)</w:t>
      </w:r>
    </w:p>
    <w:p w:rsidR="00A77B3E" w:rsidRPr="005830EE" w:rsidRDefault="00D7637E">
      <w:pPr>
        <w:spacing w:before="120" w:after="120"/>
        <w:jc w:val="center"/>
        <w:rPr>
          <w:b/>
          <w:szCs w:val="20"/>
        </w:rPr>
      </w:pPr>
      <w:r w:rsidRPr="005830EE">
        <w:rPr>
          <w:b/>
          <w:szCs w:val="20"/>
        </w:rPr>
        <w:t>Rada Miasta Chorzów</w:t>
      </w:r>
      <w:r w:rsidRPr="005830EE">
        <w:rPr>
          <w:b/>
          <w:szCs w:val="20"/>
        </w:rPr>
        <w:br/>
        <w:t>postanawia</w:t>
      </w:r>
    </w:p>
    <w:p w:rsidR="005951D2" w:rsidRPr="005830EE" w:rsidRDefault="00D7637E">
      <w:pPr>
        <w:keepNext/>
        <w:spacing w:before="280"/>
        <w:jc w:val="center"/>
        <w:rPr>
          <w:szCs w:val="20"/>
        </w:rPr>
      </w:pPr>
      <w:r w:rsidRPr="005830EE">
        <w:rPr>
          <w:b/>
          <w:szCs w:val="20"/>
        </w:rPr>
        <w:t>§ 1. </w:t>
      </w:r>
    </w:p>
    <w:p w:rsidR="00A77B3E" w:rsidRPr="005830EE" w:rsidRDefault="00D7637E">
      <w:pPr>
        <w:keepLines/>
        <w:spacing w:before="120" w:after="120"/>
        <w:rPr>
          <w:szCs w:val="20"/>
        </w:rPr>
      </w:pPr>
      <w:r w:rsidRPr="005830EE">
        <w:rPr>
          <w:szCs w:val="20"/>
        </w:rPr>
        <w:t>Dokonać zmian w Załączniku Nr 1 - Wieloletnia Prognoza Finansowa Miasta Chorzów na lata 2024 – 2027 do uchwały Nr LXXI/1129/2023 Rady Miasta Chorzów z dnia 14 grudnia 2023 r. w sprawie uchwalenia Wieloletniej Prognozy Finansowej Miasta Chorzów, zgodnie z załącznikiem Nr 1 do niniejszej uchwały.</w:t>
      </w:r>
    </w:p>
    <w:p w:rsidR="005951D2" w:rsidRPr="005830EE" w:rsidRDefault="00D7637E">
      <w:pPr>
        <w:keepNext/>
        <w:spacing w:before="280"/>
        <w:jc w:val="center"/>
        <w:rPr>
          <w:szCs w:val="20"/>
        </w:rPr>
      </w:pPr>
      <w:r w:rsidRPr="005830EE">
        <w:rPr>
          <w:b/>
          <w:szCs w:val="20"/>
        </w:rPr>
        <w:t>§ 2. </w:t>
      </w:r>
    </w:p>
    <w:p w:rsidR="00A77B3E" w:rsidRPr="005830EE" w:rsidRDefault="00D7637E">
      <w:pPr>
        <w:keepLines/>
        <w:spacing w:before="120" w:after="120"/>
        <w:rPr>
          <w:szCs w:val="20"/>
        </w:rPr>
      </w:pPr>
      <w:r w:rsidRPr="005830EE">
        <w:rPr>
          <w:szCs w:val="20"/>
        </w:rPr>
        <w:t>Dokonać zmian w Załączniku Nr 2 - określającym wykaz przedsięwzięć realizowanych w latach 2024 – 2041 do uchwały Nr LXXI/1129/2023 Rady Miasta Chorzów z dnia 14 grudnia 2023 r. w sprawie uchwalenia Wieloletniej Prognozy Finansowej Miasta Chorzów, zgodnie z załącznikiem Nr 2 do niniejszej uchwały.</w:t>
      </w:r>
    </w:p>
    <w:p w:rsidR="005951D2" w:rsidRPr="005830EE" w:rsidRDefault="00D7637E">
      <w:pPr>
        <w:keepNext/>
        <w:spacing w:before="280"/>
        <w:jc w:val="center"/>
        <w:rPr>
          <w:szCs w:val="20"/>
        </w:rPr>
      </w:pPr>
      <w:r w:rsidRPr="005830EE">
        <w:rPr>
          <w:b/>
          <w:szCs w:val="20"/>
        </w:rPr>
        <w:t>§ 3. </w:t>
      </w:r>
    </w:p>
    <w:p w:rsidR="00A77B3E" w:rsidRPr="005830EE" w:rsidRDefault="00D7637E">
      <w:pPr>
        <w:keepLines/>
        <w:spacing w:before="120" w:after="120"/>
        <w:rPr>
          <w:szCs w:val="20"/>
        </w:rPr>
      </w:pPr>
      <w:r w:rsidRPr="005830EE">
        <w:rPr>
          <w:szCs w:val="20"/>
        </w:rPr>
        <w:t>Paragraf 3 uchwały Nr LXXI/1129/2023 Rady Miasta Chorzów z dnia 14 grudnia 2023 r. w sprawie uchwalenia Wieloletniej Prognozy Finansowej Miasta Chorzów otrzymuje brzmienie:</w:t>
      </w:r>
    </w:p>
    <w:p w:rsidR="00A77B3E" w:rsidRPr="005830EE" w:rsidRDefault="00D7637E">
      <w:pPr>
        <w:keepLines/>
        <w:spacing w:before="120" w:after="120"/>
        <w:ind w:left="340" w:hanging="113"/>
        <w:rPr>
          <w:szCs w:val="20"/>
        </w:rPr>
      </w:pPr>
      <w:r w:rsidRPr="005830EE">
        <w:rPr>
          <w:szCs w:val="20"/>
        </w:rPr>
        <w:t>„§ 3. Określić wysokość zabezpieczonych w 2024 r. środków na świadczenia pracownicze na poziomie 419.296.598,07 zł.”.</w:t>
      </w:r>
    </w:p>
    <w:p w:rsidR="005951D2" w:rsidRPr="005830EE" w:rsidRDefault="00D7637E">
      <w:pPr>
        <w:keepNext/>
        <w:spacing w:before="280"/>
        <w:jc w:val="center"/>
        <w:rPr>
          <w:szCs w:val="20"/>
        </w:rPr>
      </w:pPr>
      <w:r w:rsidRPr="005830EE">
        <w:rPr>
          <w:b/>
          <w:szCs w:val="20"/>
        </w:rPr>
        <w:t>§ 4. </w:t>
      </w:r>
    </w:p>
    <w:p w:rsidR="00A77B3E" w:rsidRPr="005830EE" w:rsidRDefault="00D7637E">
      <w:pPr>
        <w:keepLines/>
        <w:spacing w:before="120" w:after="120"/>
        <w:rPr>
          <w:szCs w:val="20"/>
        </w:rPr>
      </w:pPr>
      <w:r w:rsidRPr="005830EE">
        <w:rPr>
          <w:szCs w:val="20"/>
        </w:rPr>
        <w:t>Wykonanie uchwały powierza się Prezydentowi Miasta Chorzów.</w:t>
      </w:r>
    </w:p>
    <w:p w:rsidR="005951D2" w:rsidRPr="005830EE" w:rsidRDefault="00D7637E">
      <w:pPr>
        <w:keepNext/>
        <w:spacing w:before="280"/>
        <w:jc w:val="center"/>
        <w:rPr>
          <w:szCs w:val="20"/>
        </w:rPr>
      </w:pPr>
      <w:r w:rsidRPr="005830EE">
        <w:rPr>
          <w:b/>
          <w:szCs w:val="20"/>
        </w:rPr>
        <w:t>§ 5. </w:t>
      </w:r>
    </w:p>
    <w:p w:rsidR="00A77B3E" w:rsidRPr="005830EE" w:rsidRDefault="00D7637E">
      <w:pPr>
        <w:keepLines/>
        <w:spacing w:before="120" w:after="120"/>
        <w:rPr>
          <w:szCs w:val="20"/>
        </w:rPr>
      </w:pPr>
      <w:r w:rsidRPr="005830EE">
        <w:rPr>
          <w:szCs w:val="20"/>
        </w:rPr>
        <w:t>Uchwała wchodzi w życie z dniem podjęcia.</w:t>
      </w:r>
    </w:p>
    <w:p w:rsidR="00E67C1E" w:rsidRPr="005830EE" w:rsidRDefault="00E67C1E">
      <w:pPr>
        <w:keepLines/>
        <w:spacing w:before="120" w:after="120"/>
        <w:rPr>
          <w:szCs w:val="20"/>
        </w:rPr>
      </w:pPr>
    </w:p>
    <w:p w:rsidR="00E67C1E" w:rsidRPr="005830EE" w:rsidRDefault="00E67C1E">
      <w:pPr>
        <w:keepLines/>
        <w:spacing w:before="120" w:after="120"/>
        <w:rPr>
          <w:szCs w:val="20"/>
        </w:rPr>
      </w:pPr>
    </w:p>
    <w:p w:rsidR="00E67C1E" w:rsidRPr="005830EE" w:rsidRDefault="00E67C1E">
      <w:pPr>
        <w:keepLines/>
        <w:spacing w:before="120" w:after="120"/>
        <w:rPr>
          <w:szCs w:val="20"/>
        </w:rPr>
      </w:pPr>
      <w:r w:rsidRPr="005830EE">
        <w:rPr>
          <w:szCs w:val="20"/>
        </w:rPr>
        <w:t>RADCA PRAWNY</w:t>
      </w:r>
    </w:p>
    <w:p w:rsidR="00E67C1E" w:rsidRPr="005830EE" w:rsidRDefault="00E67C1E">
      <w:pPr>
        <w:keepLines/>
        <w:spacing w:before="120" w:after="120"/>
        <w:rPr>
          <w:szCs w:val="20"/>
        </w:rPr>
      </w:pPr>
      <w:r w:rsidRPr="005830EE">
        <w:rPr>
          <w:szCs w:val="20"/>
        </w:rPr>
        <w:t>/-/ Piotr Partyka</w:t>
      </w:r>
    </w:p>
    <w:p w:rsidR="00E67C1E" w:rsidRPr="005830EE" w:rsidRDefault="00E67C1E">
      <w:pPr>
        <w:keepLines/>
        <w:spacing w:before="120" w:after="120"/>
        <w:rPr>
          <w:szCs w:val="20"/>
        </w:rPr>
      </w:pPr>
    </w:p>
    <w:p w:rsidR="00E67C1E" w:rsidRPr="005830EE" w:rsidRDefault="00E67C1E">
      <w:pPr>
        <w:keepLines/>
        <w:spacing w:before="120" w:after="120"/>
        <w:rPr>
          <w:szCs w:val="20"/>
        </w:rPr>
        <w:sectPr w:rsidR="00E67C1E" w:rsidRPr="005830EE">
          <w:footerReference w:type="default" r:id="rId7"/>
          <w:endnotePr>
            <w:numFmt w:val="decimal"/>
          </w:end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77B3E" w:rsidRPr="005830EE" w:rsidRDefault="00E05CF9">
      <w:pPr>
        <w:keepLines/>
        <w:spacing w:before="280" w:after="280" w:line="360" w:lineRule="auto"/>
        <w:ind w:left="4535"/>
        <w:jc w:val="left"/>
        <w:rPr>
          <w:szCs w:val="20"/>
        </w:rPr>
      </w:pPr>
      <w:r w:rsidRPr="005830EE">
        <w:rPr>
          <w:szCs w:val="20"/>
        </w:rPr>
        <w:lastRenderedPageBreak/>
        <w:fldChar w:fldCharType="begin"/>
      </w:r>
      <w:r w:rsidRPr="005830EE">
        <w:rPr>
          <w:szCs w:val="20"/>
        </w:rPr>
        <w:fldChar w:fldCharType="end"/>
      </w:r>
      <w:r w:rsidR="00D7637E" w:rsidRPr="005830EE">
        <w:rPr>
          <w:szCs w:val="20"/>
        </w:rPr>
        <w:t>Załącznik Nr 1 do uchwały Nr ....................</w:t>
      </w:r>
      <w:r w:rsidR="00D7637E" w:rsidRPr="005830EE">
        <w:rPr>
          <w:szCs w:val="20"/>
        </w:rPr>
        <w:br/>
        <w:t xml:space="preserve">Rady Miasta Chorzów </w:t>
      </w:r>
      <w:r w:rsidR="00D7637E" w:rsidRPr="005830EE">
        <w:rPr>
          <w:szCs w:val="20"/>
        </w:rPr>
        <w:br/>
        <w:t>z dnia .................... 2024 r.</w:t>
      </w:r>
      <w:r w:rsidR="00D7637E" w:rsidRPr="005830EE">
        <w:rPr>
          <w:szCs w:val="20"/>
        </w:rPr>
        <w:br/>
      </w:r>
      <w:hyperlink r:id="rId8" w:history="1">
        <w:r w:rsidR="00D7637E" w:rsidRPr="005830EE">
          <w:rPr>
            <w:rStyle w:val="Hipercze"/>
            <w:color w:val="auto"/>
            <w:szCs w:val="20"/>
            <w:u w:val="none"/>
          </w:rPr>
          <w:t>Zalacznik1.pdf</w:t>
        </w:r>
      </w:hyperlink>
    </w:p>
    <w:p w:rsidR="00E67C1E" w:rsidRPr="005830EE" w:rsidRDefault="00E67C1E">
      <w:pPr>
        <w:keepLines/>
        <w:spacing w:before="280" w:after="280" w:line="360" w:lineRule="auto"/>
        <w:ind w:left="4535"/>
        <w:jc w:val="left"/>
        <w:rPr>
          <w:szCs w:val="20"/>
        </w:rPr>
      </w:pPr>
    </w:p>
    <w:p w:rsidR="00A77B3E" w:rsidRPr="005830EE" w:rsidRDefault="00E05CF9">
      <w:pPr>
        <w:keepLines/>
        <w:spacing w:before="280" w:after="280" w:line="360" w:lineRule="auto"/>
        <w:ind w:left="4535"/>
        <w:jc w:val="left"/>
        <w:rPr>
          <w:szCs w:val="20"/>
        </w:rPr>
      </w:pPr>
      <w:r w:rsidRPr="005830EE">
        <w:rPr>
          <w:szCs w:val="20"/>
        </w:rPr>
        <w:fldChar w:fldCharType="begin"/>
      </w:r>
      <w:r w:rsidRPr="005830EE">
        <w:rPr>
          <w:szCs w:val="20"/>
        </w:rPr>
        <w:fldChar w:fldCharType="end"/>
      </w:r>
      <w:r w:rsidR="00D7637E" w:rsidRPr="005830EE">
        <w:rPr>
          <w:szCs w:val="20"/>
        </w:rPr>
        <w:t>Załącznik Nr 2 do uchwały Nr ....................</w:t>
      </w:r>
      <w:r w:rsidR="00D7637E" w:rsidRPr="005830EE">
        <w:rPr>
          <w:szCs w:val="20"/>
        </w:rPr>
        <w:br/>
        <w:t xml:space="preserve">Rady Miasta Chorzów </w:t>
      </w:r>
      <w:r w:rsidR="00D7637E" w:rsidRPr="005830EE">
        <w:rPr>
          <w:szCs w:val="20"/>
        </w:rPr>
        <w:br/>
        <w:t>z dnia .................... 2024 r.</w:t>
      </w:r>
      <w:r w:rsidR="00D7637E" w:rsidRPr="005830EE">
        <w:rPr>
          <w:szCs w:val="20"/>
        </w:rPr>
        <w:br/>
      </w:r>
      <w:hyperlink r:id="rId9" w:history="1">
        <w:r w:rsidR="00D7637E" w:rsidRPr="005830EE">
          <w:rPr>
            <w:rStyle w:val="Hipercze"/>
            <w:color w:val="auto"/>
            <w:szCs w:val="20"/>
            <w:u w:val="none"/>
          </w:rPr>
          <w:t>Zalacznik2.pdf</w:t>
        </w:r>
      </w:hyperlink>
    </w:p>
    <w:p w:rsidR="00E67C1E" w:rsidRPr="005830EE" w:rsidRDefault="00E67C1E">
      <w:pPr>
        <w:keepLines/>
        <w:spacing w:before="280" w:after="280" w:line="360" w:lineRule="auto"/>
        <w:ind w:left="4535"/>
        <w:jc w:val="left"/>
        <w:rPr>
          <w:szCs w:val="20"/>
        </w:rPr>
      </w:pPr>
    </w:p>
    <w:p w:rsidR="00E67C1E" w:rsidRPr="005830EE" w:rsidRDefault="00E67C1E">
      <w:pPr>
        <w:keepLines/>
        <w:spacing w:before="280" w:after="280" w:line="360" w:lineRule="auto"/>
        <w:ind w:left="4535"/>
        <w:jc w:val="left"/>
        <w:rPr>
          <w:szCs w:val="20"/>
        </w:rPr>
      </w:pPr>
    </w:p>
    <w:p w:rsidR="00E67C1E" w:rsidRPr="005830EE" w:rsidRDefault="00E67C1E">
      <w:pPr>
        <w:keepLines/>
        <w:spacing w:before="280" w:after="280" w:line="360" w:lineRule="auto"/>
        <w:ind w:left="4535"/>
        <w:jc w:val="left"/>
        <w:rPr>
          <w:szCs w:val="20"/>
        </w:rPr>
        <w:sectPr w:rsidR="00E67C1E" w:rsidRPr="005830EE">
          <w:footerReference w:type="default" r:id="rId10"/>
          <w:endnotePr>
            <w:numFmt w:val="decimal"/>
          </w:endnotePr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:rsidR="005951D2" w:rsidRPr="005830EE" w:rsidRDefault="005951D2">
      <w:pPr>
        <w:tabs>
          <w:tab w:val="left" w:pos="566"/>
          <w:tab w:val="left" w:pos="2268"/>
        </w:tabs>
        <w:spacing w:line="360" w:lineRule="auto"/>
        <w:jc w:val="left"/>
        <w:rPr>
          <w:rFonts w:eastAsia="Times New Roman"/>
          <w:b/>
          <w:szCs w:val="20"/>
          <w:shd w:val="clear" w:color="auto" w:fill="FFFFFF"/>
          <w:lang w:eastAsia="en-US" w:bidi="ar-SA"/>
        </w:rPr>
      </w:pPr>
    </w:p>
    <w:p w:rsidR="005951D2" w:rsidRPr="005830EE" w:rsidRDefault="00D7637E">
      <w:pPr>
        <w:tabs>
          <w:tab w:val="left" w:pos="566"/>
          <w:tab w:val="left" w:pos="2268"/>
        </w:tabs>
        <w:spacing w:line="360" w:lineRule="auto"/>
        <w:jc w:val="center"/>
        <w:rPr>
          <w:rFonts w:eastAsia="Times New Roman"/>
          <w:b/>
          <w:szCs w:val="20"/>
          <w:shd w:val="clear" w:color="auto" w:fill="FFFFFF"/>
          <w:lang w:eastAsia="en-US" w:bidi="ar-SA"/>
        </w:rPr>
      </w:pPr>
      <w:r w:rsidRPr="005830EE">
        <w:rPr>
          <w:rFonts w:eastAsia="Times New Roman"/>
          <w:b/>
          <w:szCs w:val="20"/>
          <w:shd w:val="clear" w:color="auto" w:fill="FFFFFF"/>
          <w:lang w:eastAsia="en-US" w:bidi="ar-SA"/>
        </w:rPr>
        <w:t>OBJAŚNIENIA</w:t>
      </w:r>
    </w:p>
    <w:p w:rsidR="005951D2" w:rsidRPr="005830EE" w:rsidRDefault="00D7637E">
      <w:pPr>
        <w:tabs>
          <w:tab w:val="left" w:pos="566"/>
          <w:tab w:val="left" w:pos="2268"/>
        </w:tabs>
        <w:spacing w:line="360" w:lineRule="auto"/>
        <w:jc w:val="center"/>
        <w:rPr>
          <w:rFonts w:eastAsia="Times New Roman"/>
          <w:b/>
          <w:szCs w:val="20"/>
          <w:shd w:val="clear" w:color="auto" w:fill="FFFFFF"/>
          <w:lang w:eastAsia="en-US" w:bidi="ar-SA"/>
        </w:rPr>
      </w:pPr>
      <w:r w:rsidRPr="005830EE">
        <w:rPr>
          <w:rFonts w:eastAsia="Times New Roman"/>
          <w:b/>
          <w:szCs w:val="20"/>
          <w:shd w:val="clear" w:color="auto" w:fill="FFFFFF"/>
          <w:lang w:eastAsia="en-US" w:bidi="ar-SA"/>
        </w:rPr>
        <w:t>Do Uchwały Nr …</w:t>
      </w:r>
    </w:p>
    <w:p w:rsidR="005951D2" w:rsidRPr="005830EE" w:rsidRDefault="00D7637E">
      <w:pPr>
        <w:tabs>
          <w:tab w:val="left" w:pos="566"/>
          <w:tab w:val="left" w:pos="2268"/>
        </w:tabs>
        <w:spacing w:line="360" w:lineRule="auto"/>
        <w:jc w:val="center"/>
        <w:rPr>
          <w:rFonts w:eastAsia="Times New Roman"/>
          <w:b/>
          <w:szCs w:val="20"/>
          <w:shd w:val="clear" w:color="auto" w:fill="FFFFFF"/>
          <w:lang w:eastAsia="en-US" w:bidi="ar-SA"/>
        </w:rPr>
      </w:pPr>
      <w:r w:rsidRPr="005830EE">
        <w:rPr>
          <w:rFonts w:eastAsia="Times New Roman"/>
          <w:b/>
          <w:szCs w:val="20"/>
          <w:shd w:val="clear" w:color="auto" w:fill="FFFFFF"/>
          <w:lang w:eastAsia="en-US" w:bidi="ar-SA"/>
        </w:rPr>
        <w:t>Rady Miasta Chorzów</w:t>
      </w:r>
    </w:p>
    <w:p w:rsidR="005951D2" w:rsidRPr="005830EE" w:rsidRDefault="00D7637E">
      <w:pPr>
        <w:tabs>
          <w:tab w:val="left" w:pos="566"/>
          <w:tab w:val="left" w:pos="2268"/>
        </w:tabs>
        <w:spacing w:line="360" w:lineRule="auto"/>
        <w:jc w:val="center"/>
        <w:rPr>
          <w:rFonts w:eastAsia="Times New Roman"/>
          <w:b/>
          <w:szCs w:val="20"/>
          <w:shd w:val="clear" w:color="auto" w:fill="FFFFFF"/>
          <w:lang w:eastAsia="en-US" w:bidi="ar-SA"/>
        </w:rPr>
      </w:pPr>
      <w:r w:rsidRPr="005830EE">
        <w:rPr>
          <w:rFonts w:eastAsia="Times New Roman"/>
          <w:b/>
          <w:szCs w:val="20"/>
          <w:shd w:val="clear" w:color="auto" w:fill="FFFFFF"/>
          <w:lang w:eastAsia="en-US" w:bidi="ar-SA"/>
        </w:rPr>
        <w:t>z dnia …r.</w:t>
      </w:r>
    </w:p>
    <w:p w:rsidR="005951D2" w:rsidRPr="005830EE" w:rsidRDefault="00D7637E">
      <w:pPr>
        <w:tabs>
          <w:tab w:val="left" w:pos="566"/>
          <w:tab w:val="left" w:pos="2268"/>
        </w:tabs>
        <w:spacing w:line="360" w:lineRule="auto"/>
        <w:jc w:val="center"/>
        <w:rPr>
          <w:rFonts w:eastAsia="Times New Roman"/>
          <w:b/>
          <w:szCs w:val="20"/>
          <w:shd w:val="clear" w:color="auto" w:fill="FFFFFF"/>
          <w:lang w:eastAsia="en-US" w:bidi="ar-SA"/>
        </w:rPr>
      </w:pPr>
      <w:r w:rsidRPr="005830EE">
        <w:rPr>
          <w:rFonts w:eastAsia="Times New Roman"/>
          <w:b/>
          <w:szCs w:val="20"/>
          <w:shd w:val="clear" w:color="auto" w:fill="FFFFFF"/>
          <w:lang w:eastAsia="en-US" w:bidi="ar-SA"/>
        </w:rPr>
        <w:t>w sprawie zmiany Wieloletniej Prognozy Finansowej Miasta Chorzów na lata 2024 – 2027</w:t>
      </w:r>
      <w:r w:rsidRPr="005830EE">
        <w:rPr>
          <w:rFonts w:eastAsia="Times New Roman"/>
          <w:b/>
          <w:szCs w:val="20"/>
          <w:shd w:val="clear" w:color="auto" w:fill="FFFFFF"/>
          <w:lang w:eastAsia="en-US" w:bidi="ar-SA"/>
        </w:rPr>
        <w:tab/>
      </w:r>
    </w:p>
    <w:p w:rsidR="005951D2" w:rsidRPr="005830EE" w:rsidRDefault="005951D2" w:rsidP="00E67C1E">
      <w:pPr>
        <w:tabs>
          <w:tab w:val="left" w:pos="566"/>
          <w:tab w:val="left" w:pos="2268"/>
        </w:tabs>
        <w:spacing w:line="276" w:lineRule="auto"/>
        <w:jc w:val="center"/>
        <w:rPr>
          <w:rFonts w:eastAsia="Times New Roman"/>
          <w:szCs w:val="20"/>
          <w:shd w:val="clear" w:color="auto" w:fill="FFFFFF"/>
          <w:lang w:eastAsia="en-US" w:bidi="ar-SA"/>
        </w:rPr>
      </w:pPr>
    </w:p>
    <w:p w:rsidR="005951D2" w:rsidRPr="005830EE" w:rsidRDefault="00D7637E" w:rsidP="00E67C1E">
      <w:pPr>
        <w:tabs>
          <w:tab w:val="left" w:pos="709"/>
          <w:tab w:val="left" w:pos="1416"/>
          <w:tab w:val="left" w:pos="2124"/>
          <w:tab w:val="left" w:pos="2268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931"/>
          <w:tab w:val="left" w:pos="9204"/>
          <w:tab w:val="left" w:pos="9912"/>
        </w:tabs>
        <w:spacing w:line="276" w:lineRule="auto"/>
        <w:rPr>
          <w:rFonts w:eastAsia="Times New Roman"/>
          <w:b/>
          <w:szCs w:val="20"/>
          <w:shd w:val="clear" w:color="auto" w:fill="FFFFFF"/>
          <w:lang w:eastAsia="en-US" w:bidi="ar-SA"/>
        </w:rPr>
      </w:pPr>
      <w:r w:rsidRPr="005830EE">
        <w:rPr>
          <w:rFonts w:eastAsia="Times New Roman"/>
          <w:szCs w:val="20"/>
          <w:shd w:val="clear" w:color="auto" w:fill="FFFFFF"/>
          <w:lang w:eastAsia="en-US" w:bidi="ar-SA"/>
        </w:rPr>
        <w:t>W następstwie zmian wynikających z projektu uchwały Nr … Rady Miasta Chorzów z dnia … r. o zmianie uchwały Nr LXXI/1128/2023 Rady Miasta Chorzów z dnia 14 grudnia 2023 roku w sprawie uchwały budżetowej Miasta Chorzów na rok 2024 oraz Zarządzeń Prezydenta Miasta na dzień 12 września 2024r. przedstawiam projekt uchwały Nr … Rady Miasta Chorzów z dnia … r. o zmianie uchwały Nr LXXI/1129/2023 Rady Miasta Chorzów z dnia 14 grudnia 2023 r. w sprawie uchwalenia Wieloletniej Prognozy Finansowej Miasta Chorzów. W treści uchwały w § 3</w:t>
      </w:r>
      <w:r w:rsidRPr="005830EE">
        <w:rPr>
          <w:rFonts w:eastAsia="Times New Roman"/>
          <w:b/>
          <w:szCs w:val="20"/>
          <w:shd w:val="clear" w:color="auto" w:fill="FFFFFF"/>
          <w:lang w:eastAsia="en-US" w:bidi="ar-SA"/>
        </w:rPr>
        <w:t xml:space="preserve"> </w:t>
      </w:r>
      <w:r w:rsidRPr="005830EE">
        <w:rPr>
          <w:rFonts w:eastAsia="Times New Roman"/>
          <w:szCs w:val="20"/>
          <w:shd w:val="clear" w:color="auto" w:fill="FFFFFF"/>
          <w:lang w:eastAsia="en-US" w:bidi="ar-SA"/>
        </w:rPr>
        <w:t>określono wysokość zabezpieczonych w 2024 r. środków na świadczenia pracownicze na poziomie 419.296.598,07 zł. Wartość ta wynika z następujących paragrafów klasyfikacji budżetowej: 4010, 4040, 4050, 4080, 4110, 4120, 4710, 4790, 4800 oraz części nierozdysponowanej rezerwy celowej przeznaczonej na odprawy.</w:t>
      </w:r>
    </w:p>
    <w:p w:rsidR="005951D2" w:rsidRPr="005830EE" w:rsidRDefault="005951D2" w:rsidP="00E67C1E">
      <w:pPr>
        <w:tabs>
          <w:tab w:val="left" w:pos="709"/>
          <w:tab w:val="left" w:pos="2268"/>
        </w:tabs>
        <w:spacing w:line="276" w:lineRule="auto"/>
        <w:rPr>
          <w:rFonts w:eastAsia="Times New Roman"/>
          <w:szCs w:val="20"/>
          <w:shd w:val="clear" w:color="auto" w:fill="FFFFFF"/>
          <w:lang w:eastAsia="en-US" w:bidi="ar-SA"/>
        </w:rPr>
      </w:pPr>
    </w:p>
    <w:p w:rsidR="005951D2" w:rsidRPr="005830EE" w:rsidRDefault="00D7637E" w:rsidP="00E67C1E">
      <w:pPr>
        <w:tabs>
          <w:tab w:val="left" w:pos="709"/>
          <w:tab w:val="left" w:pos="2268"/>
        </w:tabs>
        <w:spacing w:line="276" w:lineRule="auto"/>
        <w:rPr>
          <w:rFonts w:eastAsia="Times New Roman"/>
          <w:b/>
          <w:szCs w:val="20"/>
          <w:shd w:val="clear" w:color="auto" w:fill="FFFFFF"/>
          <w:lang w:eastAsia="en-US" w:bidi="ar-SA"/>
        </w:rPr>
      </w:pPr>
      <w:r w:rsidRPr="005830EE">
        <w:rPr>
          <w:rFonts w:eastAsia="Times New Roman"/>
          <w:b/>
          <w:szCs w:val="20"/>
          <w:shd w:val="clear" w:color="auto" w:fill="FFFFFF"/>
          <w:lang w:eastAsia="en-US" w:bidi="ar-SA"/>
        </w:rPr>
        <w:t>Objaśnienia do załącznika Nr 1 - Wieloletnia Prognoza Finansowa Miasta Chorzów na lata 2024-2027.</w:t>
      </w:r>
    </w:p>
    <w:p w:rsidR="005951D2" w:rsidRPr="005830EE" w:rsidRDefault="005951D2" w:rsidP="00E67C1E">
      <w:pPr>
        <w:tabs>
          <w:tab w:val="left" w:pos="709"/>
          <w:tab w:val="left" w:pos="2268"/>
        </w:tabs>
        <w:spacing w:line="276" w:lineRule="auto"/>
        <w:rPr>
          <w:rFonts w:eastAsia="Times New Roman"/>
          <w:b/>
          <w:szCs w:val="20"/>
          <w:shd w:val="clear" w:color="auto" w:fill="FFFFFF"/>
          <w:lang w:eastAsia="en-US" w:bidi="ar-SA"/>
        </w:rPr>
      </w:pPr>
    </w:p>
    <w:p w:rsidR="005951D2" w:rsidRPr="005830EE" w:rsidRDefault="00D7637E" w:rsidP="00E67C1E">
      <w:pPr>
        <w:tabs>
          <w:tab w:val="left" w:pos="709"/>
          <w:tab w:val="left" w:pos="2268"/>
        </w:tabs>
        <w:spacing w:line="276" w:lineRule="auto"/>
        <w:rPr>
          <w:rFonts w:eastAsia="Times New Roman"/>
          <w:b/>
          <w:szCs w:val="20"/>
          <w:shd w:val="clear" w:color="auto" w:fill="FFFFFF"/>
          <w:lang w:eastAsia="en-US" w:bidi="ar-SA"/>
        </w:rPr>
      </w:pPr>
      <w:r w:rsidRPr="005830EE">
        <w:rPr>
          <w:rFonts w:eastAsia="Times New Roman"/>
          <w:b/>
          <w:szCs w:val="20"/>
          <w:shd w:val="clear" w:color="auto" w:fill="FFFFFF"/>
          <w:lang w:eastAsia="en-US" w:bidi="ar-SA"/>
        </w:rPr>
        <w:t>Po zmianach dochody Miasta Chorzów na 2024 rok wynoszą 962.785.537,59 zł, w tym dochody bieżące – 886.843.871,62 zł, dochody majątkowe 75.941.665,97 zł.</w:t>
      </w:r>
    </w:p>
    <w:p w:rsidR="005951D2" w:rsidRPr="005830EE" w:rsidRDefault="00D7637E" w:rsidP="00E67C1E">
      <w:pPr>
        <w:tabs>
          <w:tab w:val="left" w:pos="709"/>
          <w:tab w:val="left" w:pos="2268"/>
        </w:tabs>
        <w:spacing w:line="276" w:lineRule="auto"/>
        <w:rPr>
          <w:rFonts w:eastAsia="Times New Roman"/>
          <w:b/>
          <w:szCs w:val="20"/>
          <w:shd w:val="clear" w:color="auto" w:fill="FFFFFF"/>
          <w:lang w:eastAsia="en-US" w:bidi="ar-SA"/>
        </w:rPr>
      </w:pPr>
      <w:r w:rsidRPr="005830EE">
        <w:rPr>
          <w:rFonts w:eastAsia="Times New Roman"/>
          <w:b/>
          <w:szCs w:val="20"/>
          <w:shd w:val="clear" w:color="auto" w:fill="FFFFFF"/>
          <w:lang w:eastAsia="en-US" w:bidi="ar-SA"/>
        </w:rPr>
        <w:t>Po zmianach wydatki Miasta Chorzów na 2024 rok wynoszą 1.026.127.019,87 zł, w tym wydatki bieżące – 885.093.010,82 zł, wydatki majątkowe 141.034.009,05 zł.</w:t>
      </w:r>
    </w:p>
    <w:p w:rsidR="005951D2" w:rsidRPr="005830EE" w:rsidRDefault="00D7637E" w:rsidP="00E67C1E">
      <w:pPr>
        <w:tabs>
          <w:tab w:val="left" w:pos="709"/>
          <w:tab w:val="left" w:pos="2268"/>
        </w:tabs>
        <w:spacing w:line="276" w:lineRule="auto"/>
        <w:rPr>
          <w:rFonts w:eastAsia="Times New Roman"/>
          <w:b/>
          <w:szCs w:val="20"/>
          <w:shd w:val="clear" w:color="auto" w:fill="FFFFFF"/>
          <w:lang w:eastAsia="en-US" w:bidi="ar-SA"/>
        </w:rPr>
      </w:pPr>
      <w:r w:rsidRPr="005830EE">
        <w:rPr>
          <w:rFonts w:eastAsia="Times New Roman"/>
          <w:b/>
          <w:szCs w:val="20"/>
          <w:shd w:val="clear" w:color="auto" w:fill="FFFFFF"/>
          <w:lang w:eastAsia="en-US" w:bidi="ar-SA"/>
        </w:rPr>
        <w:t>Po zmianach przychody Miasta Chorzów na 2024 rok wynoszą 81.441.423,34 zł.</w:t>
      </w:r>
    </w:p>
    <w:p w:rsidR="005951D2" w:rsidRPr="005830EE" w:rsidRDefault="00D7637E" w:rsidP="00E67C1E">
      <w:pPr>
        <w:tabs>
          <w:tab w:val="left" w:pos="709"/>
          <w:tab w:val="left" w:pos="2268"/>
        </w:tabs>
        <w:spacing w:line="276" w:lineRule="auto"/>
        <w:rPr>
          <w:rFonts w:eastAsia="Times New Roman"/>
          <w:b/>
          <w:szCs w:val="20"/>
          <w:shd w:val="clear" w:color="auto" w:fill="FFFFFF"/>
          <w:lang w:eastAsia="en-US" w:bidi="ar-SA"/>
        </w:rPr>
      </w:pPr>
      <w:r w:rsidRPr="005830EE">
        <w:rPr>
          <w:rFonts w:eastAsia="Times New Roman"/>
          <w:b/>
          <w:szCs w:val="20"/>
          <w:shd w:val="clear" w:color="auto" w:fill="FFFFFF"/>
          <w:lang w:eastAsia="en-US" w:bidi="ar-SA"/>
        </w:rPr>
        <w:t>Po zmianach rozchody Miasta Chorzów na 2024 rok wynoszą 18.099.941,06 zł.</w:t>
      </w:r>
    </w:p>
    <w:p w:rsidR="005951D2" w:rsidRPr="005830EE" w:rsidRDefault="005951D2" w:rsidP="00E67C1E">
      <w:pPr>
        <w:tabs>
          <w:tab w:val="left" w:pos="709"/>
          <w:tab w:val="left" w:pos="2268"/>
        </w:tabs>
        <w:spacing w:line="276" w:lineRule="auto"/>
        <w:rPr>
          <w:rFonts w:eastAsia="Times New Roman"/>
          <w:b/>
          <w:szCs w:val="20"/>
          <w:shd w:val="clear" w:color="auto" w:fill="FFFFFF"/>
          <w:lang w:eastAsia="en-US" w:bidi="ar-SA"/>
        </w:rPr>
      </w:pPr>
    </w:p>
    <w:p w:rsidR="005951D2" w:rsidRPr="005830EE" w:rsidRDefault="00D7637E" w:rsidP="00E67C1E">
      <w:pPr>
        <w:tabs>
          <w:tab w:val="left" w:pos="709"/>
          <w:tab w:val="left" w:pos="2268"/>
        </w:tabs>
        <w:spacing w:line="276" w:lineRule="auto"/>
        <w:rPr>
          <w:rFonts w:eastAsia="Times New Roman"/>
          <w:b/>
          <w:szCs w:val="20"/>
          <w:shd w:val="clear" w:color="auto" w:fill="FFFFFF"/>
          <w:lang w:eastAsia="en-US" w:bidi="ar-SA"/>
        </w:rPr>
      </w:pPr>
      <w:r w:rsidRPr="005830EE">
        <w:rPr>
          <w:rFonts w:eastAsia="Times New Roman"/>
          <w:b/>
          <w:szCs w:val="20"/>
          <w:shd w:val="clear" w:color="auto" w:fill="FFFFFF"/>
          <w:lang w:eastAsia="en-US" w:bidi="ar-SA"/>
        </w:rPr>
        <w:t xml:space="preserve">Uzasadnienie zmian dochodów: </w:t>
      </w:r>
    </w:p>
    <w:p w:rsidR="005951D2" w:rsidRPr="005830EE" w:rsidRDefault="00D7637E" w:rsidP="00E67C1E">
      <w:pPr>
        <w:tabs>
          <w:tab w:val="left" w:pos="709"/>
          <w:tab w:val="left" w:pos="2268"/>
        </w:tabs>
        <w:spacing w:line="276" w:lineRule="auto"/>
        <w:rPr>
          <w:rFonts w:eastAsia="Times New Roman"/>
          <w:szCs w:val="20"/>
          <w:shd w:val="clear" w:color="auto" w:fill="FFFFFF"/>
          <w:lang w:eastAsia="en-US" w:bidi="ar-SA"/>
        </w:rPr>
      </w:pPr>
      <w:r w:rsidRPr="005830EE">
        <w:rPr>
          <w:rFonts w:eastAsia="Times New Roman"/>
          <w:b/>
          <w:szCs w:val="20"/>
          <w:shd w:val="clear" w:color="auto" w:fill="FFFFFF"/>
          <w:lang w:eastAsia="en-US" w:bidi="ar-SA"/>
        </w:rPr>
        <w:t>Dochody bieżące:</w:t>
      </w:r>
      <w:r w:rsidRPr="005830EE">
        <w:rPr>
          <w:rFonts w:eastAsia="Times New Roman"/>
          <w:szCs w:val="20"/>
          <w:shd w:val="clear" w:color="auto" w:fill="FFFFFF"/>
          <w:lang w:eastAsia="en-US" w:bidi="ar-SA"/>
        </w:rPr>
        <w:t xml:space="preserve"> W roku 2024 dochody bieżące zostały skorygowane w związku ze zmianami wynikającymi z uchwały budżetowej oraz Zarządzeń Prezydenta Miasta. Korekcie uległa pozycje 1.1.3 dochody z subwencji ogólnej 1.1.4 dochody z tytułu dotacji i środków przeznaczonych na cele bieżące  oraz 1.1.5 pozostałe dochody bieżące.</w:t>
      </w:r>
    </w:p>
    <w:p w:rsidR="005951D2" w:rsidRPr="005830EE" w:rsidRDefault="00D7637E" w:rsidP="00E67C1E">
      <w:pPr>
        <w:tabs>
          <w:tab w:val="left" w:pos="709"/>
          <w:tab w:val="left" w:pos="2268"/>
        </w:tabs>
        <w:spacing w:line="276" w:lineRule="auto"/>
        <w:jc w:val="left"/>
        <w:rPr>
          <w:rFonts w:eastAsia="Times New Roman"/>
          <w:szCs w:val="20"/>
          <w:shd w:val="clear" w:color="auto" w:fill="FFFFFF"/>
          <w:lang w:eastAsia="en-US" w:bidi="ar-SA"/>
        </w:rPr>
      </w:pPr>
      <w:r w:rsidRPr="005830EE">
        <w:rPr>
          <w:rFonts w:eastAsia="Times New Roman"/>
          <w:b/>
          <w:szCs w:val="20"/>
          <w:shd w:val="clear" w:color="auto" w:fill="FFFFFF"/>
          <w:lang w:eastAsia="en-US" w:bidi="ar-SA"/>
        </w:rPr>
        <w:t>Dochody majątkowe:</w:t>
      </w:r>
      <w:r w:rsidRPr="005830EE">
        <w:rPr>
          <w:rFonts w:eastAsia="Times New Roman"/>
          <w:szCs w:val="20"/>
          <w:shd w:val="clear" w:color="auto" w:fill="FFFFFF"/>
          <w:lang w:eastAsia="en-US" w:bidi="ar-SA"/>
        </w:rPr>
        <w:t xml:space="preserve"> W roku 2024 dochody majątkowe zostały skorygowane w związku ze zmianami w punkcie 1.2.1 dochody ze sprzedaży majątku.</w:t>
      </w:r>
    </w:p>
    <w:p w:rsidR="005951D2" w:rsidRPr="005830EE" w:rsidRDefault="00D7637E" w:rsidP="00E67C1E">
      <w:pPr>
        <w:tabs>
          <w:tab w:val="left" w:pos="709"/>
          <w:tab w:val="left" w:pos="2268"/>
        </w:tabs>
        <w:spacing w:line="276" w:lineRule="auto"/>
        <w:rPr>
          <w:rFonts w:eastAsia="Times New Roman"/>
          <w:b/>
          <w:szCs w:val="20"/>
          <w:shd w:val="clear" w:color="auto" w:fill="FFFFFF"/>
          <w:lang w:eastAsia="en-US" w:bidi="ar-SA"/>
        </w:rPr>
      </w:pPr>
      <w:r w:rsidRPr="005830EE">
        <w:rPr>
          <w:rFonts w:eastAsia="Times New Roman"/>
          <w:b/>
          <w:szCs w:val="20"/>
          <w:shd w:val="clear" w:color="auto" w:fill="FFFFFF"/>
          <w:lang w:eastAsia="en-US" w:bidi="ar-SA"/>
        </w:rPr>
        <w:t>Uzasadnienie zmian wydatków:</w:t>
      </w:r>
    </w:p>
    <w:p w:rsidR="005951D2" w:rsidRPr="005830EE" w:rsidRDefault="00D7637E" w:rsidP="00E67C1E">
      <w:pPr>
        <w:tabs>
          <w:tab w:val="left" w:pos="709"/>
          <w:tab w:val="left" w:pos="2268"/>
        </w:tabs>
        <w:spacing w:line="276" w:lineRule="auto"/>
        <w:rPr>
          <w:rFonts w:eastAsia="Times New Roman"/>
          <w:szCs w:val="20"/>
          <w:shd w:val="clear" w:color="auto" w:fill="FFFFFF"/>
          <w:lang w:eastAsia="en-US" w:bidi="ar-SA"/>
        </w:rPr>
      </w:pPr>
      <w:r w:rsidRPr="005830EE">
        <w:rPr>
          <w:rFonts w:eastAsia="Times New Roman"/>
          <w:b/>
          <w:szCs w:val="20"/>
          <w:shd w:val="clear" w:color="auto" w:fill="FFFFFF"/>
          <w:lang w:eastAsia="en-US" w:bidi="ar-SA"/>
        </w:rPr>
        <w:t xml:space="preserve">Wydatki bieżące: </w:t>
      </w:r>
      <w:r w:rsidRPr="005830EE">
        <w:rPr>
          <w:rFonts w:eastAsia="Times New Roman"/>
          <w:szCs w:val="20"/>
          <w:shd w:val="clear" w:color="auto" w:fill="FFFFFF"/>
          <w:lang w:eastAsia="en-US" w:bidi="ar-SA"/>
        </w:rPr>
        <w:t>Zmiana</w:t>
      </w:r>
      <w:r w:rsidRPr="005830EE">
        <w:rPr>
          <w:rFonts w:eastAsia="Times New Roman"/>
          <w:szCs w:val="20"/>
          <w:shd w:val="clear" w:color="auto" w:fill="FFFFFF"/>
        </w:rPr>
        <w:t xml:space="preserve"> wydatków bieżących</w:t>
      </w:r>
      <w:r w:rsidRPr="005830EE">
        <w:rPr>
          <w:rFonts w:eastAsia="Times New Roman"/>
          <w:szCs w:val="20"/>
          <w:shd w:val="clear" w:color="auto" w:fill="FFFFFF"/>
          <w:lang w:eastAsia="en-US" w:bidi="ar-SA"/>
        </w:rPr>
        <w:t xml:space="preserve"> w roku 2024 związana jest ze zmianami</w:t>
      </w:r>
      <w:r w:rsidRPr="005830EE">
        <w:rPr>
          <w:rFonts w:eastAsia="Times New Roman"/>
          <w:szCs w:val="20"/>
          <w:shd w:val="clear" w:color="auto" w:fill="FFFFFF"/>
        </w:rPr>
        <w:t xml:space="preserve"> wynikającymi z </w:t>
      </w:r>
      <w:r w:rsidRPr="005830EE">
        <w:rPr>
          <w:rFonts w:eastAsia="Times New Roman"/>
          <w:szCs w:val="20"/>
          <w:shd w:val="clear" w:color="auto" w:fill="FFFFFF"/>
          <w:lang w:eastAsia="en-US" w:bidi="ar-SA"/>
        </w:rPr>
        <w:t>uchwały budżetowej oraz Zarządzeń Prezydenta Miasta.</w:t>
      </w:r>
    </w:p>
    <w:p w:rsidR="005951D2" w:rsidRPr="005830EE" w:rsidRDefault="00D7637E" w:rsidP="00E67C1E">
      <w:pPr>
        <w:tabs>
          <w:tab w:val="left" w:pos="709"/>
          <w:tab w:val="left" w:pos="2268"/>
        </w:tabs>
        <w:spacing w:line="276" w:lineRule="auto"/>
        <w:rPr>
          <w:rFonts w:eastAsia="Times New Roman"/>
          <w:szCs w:val="20"/>
          <w:shd w:val="clear" w:color="auto" w:fill="FFFFFF"/>
          <w:lang w:eastAsia="en-US" w:bidi="ar-SA"/>
        </w:rPr>
      </w:pPr>
      <w:r w:rsidRPr="005830EE">
        <w:rPr>
          <w:rFonts w:eastAsia="Times New Roman"/>
          <w:b/>
          <w:szCs w:val="20"/>
          <w:shd w:val="clear" w:color="auto" w:fill="FFFFFF"/>
          <w:lang w:eastAsia="en-US" w:bidi="ar-SA"/>
        </w:rPr>
        <w:t xml:space="preserve">Wydatki majątkowe: </w:t>
      </w:r>
      <w:r w:rsidRPr="005830EE">
        <w:rPr>
          <w:rFonts w:eastAsia="Times New Roman"/>
          <w:szCs w:val="20"/>
          <w:shd w:val="clear" w:color="auto" w:fill="FFFFFF"/>
          <w:lang w:eastAsia="en-US" w:bidi="ar-SA"/>
        </w:rPr>
        <w:t>W roku 2024 wydatki majątkowe skorygowano w związku ze zmianami  wynikającymi z uchwały budżetowej. W latach 2025-2027 zwiększono wydatki majątkowe celem zbilansowania budżetu.</w:t>
      </w:r>
    </w:p>
    <w:p w:rsidR="005951D2" w:rsidRPr="005830EE" w:rsidRDefault="00D7637E" w:rsidP="00E67C1E">
      <w:pPr>
        <w:tabs>
          <w:tab w:val="left" w:pos="566"/>
          <w:tab w:val="left" w:pos="2268"/>
        </w:tabs>
        <w:spacing w:line="276" w:lineRule="auto"/>
        <w:rPr>
          <w:rFonts w:eastAsia="Times New Roman"/>
          <w:b/>
          <w:szCs w:val="20"/>
          <w:shd w:val="clear" w:color="auto" w:fill="FFFFFF"/>
          <w:lang w:eastAsia="en-US" w:bidi="ar-SA"/>
        </w:rPr>
      </w:pPr>
      <w:r w:rsidRPr="005830EE">
        <w:rPr>
          <w:rFonts w:eastAsia="Times New Roman"/>
          <w:b/>
          <w:szCs w:val="20"/>
          <w:shd w:val="clear" w:color="auto" w:fill="FFFFFF"/>
          <w:lang w:eastAsia="en-US" w:bidi="ar-SA"/>
        </w:rPr>
        <w:t>Uzasadnienie zmian przychodów:</w:t>
      </w:r>
    </w:p>
    <w:p w:rsidR="005951D2" w:rsidRPr="005830EE" w:rsidRDefault="00D7637E" w:rsidP="00E67C1E">
      <w:pPr>
        <w:tabs>
          <w:tab w:val="left" w:pos="566"/>
          <w:tab w:val="left" w:pos="2268"/>
        </w:tabs>
        <w:spacing w:line="276" w:lineRule="auto"/>
        <w:rPr>
          <w:rFonts w:eastAsia="Times New Roman"/>
          <w:szCs w:val="20"/>
          <w:shd w:val="clear" w:color="auto" w:fill="FFFFFF"/>
          <w:lang w:eastAsia="en-US" w:bidi="ar-SA"/>
        </w:rPr>
      </w:pPr>
      <w:r w:rsidRPr="005830EE">
        <w:rPr>
          <w:rFonts w:eastAsia="Times New Roman"/>
          <w:szCs w:val="20"/>
          <w:shd w:val="clear" w:color="auto" w:fill="FFFFFF"/>
        </w:rPr>
        <w:t>Skorygowano wysokość wolnych środków.</w:t>
      </w:r>
    </w:p>
    <w:p w:rsidR="005951D2" w:rsidRPr="005830EE" w:rsidRDefault="00D7637E" w:rsidP="00E67C1E">
      <w:pPr>
        <w:tabs>
          <w:tab w:val="left" w:pos="566"/>
          <w:tab w:val="left" w:pos="2268"/>
        </w:tabs>
        <w:spacing w:line="276" w:lineRule="auto"/>
        <w:rPr>
          <w:rFonts w:eastAsia="Times New Roman"/>
          <w:szCs w:val="20"/>
          <w:shd w:val="clear" w:color="auto" w:fill="FFFFFF"/>
          <w:lang w:eastAsia="en-US" w:bidi="ar-SA"/>
        </w:rPr>
      </w:pPr>
      <w:r w:rsidRPr="005830EE">
        <w:rPr>
          <w:rFonts w:eastAsia="Times New Roman"/>
          <w:b/>
          <w:szCs w:val="20"/>
          <w:shd w:val="clear" w:color="auto" w:fill="FFFFFF"/>
          <w:lang w:eastAsia="en-US" w:bidi="ar-SA"/>
        </w:rPr>
        <w:t>Uzasadnienie zmian rozchodów:</w:t>
      </w:r>
    </w:p>
    <w:p w:rsidR="005951D2" w:rsidRPr="005830EE" w:rsidRDefault="00D7637E" w:rsidP="00E67C1E">
      <w:pPr>
        <w:tabs>
          <w:tab w:val="left" w:pos="566"/>
          <w:tab w:val="left" w:pos="2268"/>
        </w:tabs>
        <w:spacing w:line="276" w:lineRule="auto"/>
        <w:rPr>
          <w:rFonts w:eastAsia="Times New Roman"/>
          <w:szCs w:val="20"/>
          <w:shd w:val="clear" w:color="auto" w:fill="FFFFFF"/>
          <w:lang w:eastAsia="en-US" w:bidi="ar-SA"/>
        </w:rPr>
      </w:pPr>
      <w:r w:rsidRPr="005830EE">
        <w:rPr>
          <w:rFonts w:eastAsia="Times New Roman"/>
          <w:szCs w:val="20"/>
          <w:shd w:val="clear" w:color="auto" w:fill="FFFFFF"/>
          <w:lang w:eastAsia="en-US" w:bidi="ar-SA"/>
        </w:rPr>
        <w:t>Zgodnie z decyzją Wojewódzkiego Funduszu Ochrony Środowiska i Gospodarki Wodnej w Katowicach zostało udzielone umorzenie części pożyczki na kwotę 49.526,38 zł w związku z tym w latach 2025-2027 zostały obniżone rozchody z tytułu spłaty pożyczek.</w:t>
      </w:r>
    </w:p>
    <w:p w:rsidR="005951D2" w:rsidRPr="005830EE" w:rsidRDefault="005951D2" w:rsidP="00E67C1E">
      <w:pPr>
        <w:tabs>
          <w:tab w:val="left" w:pos="566"/>
          <w:tab w:val="left" w:pos="2268"/>
        </w:tabs>
        <w:spacing w:line="276" w:lineRule="auto"/>
        <w:rPr>
          <w:rFonts w:eastAsia="Times New Roman"/>
          <w:szCs w:val="20"/>
          <w:shd w:val="clear" w:color="auto" w:fill="FFFFFF"/>
          <w:lang w:eastAsia="en-US" w:bidi="ar-SA"/>
        </w:rPr>
      </w:pPr>
    </w:p>
    <w:p w:rsidR="005951D2" w:rsidRPr="005830EE" w:rsidRDefault="00D7637E" w:rsidP="00E67C1E">
      <w:pPr>
        <w:tabs>
          <w:tab w:val="left" w:pos="566"/>
          <w:tab w:val="left" w:pos="2268"/>
        </w:tabs>
        <w:spacing w:line="276" w:lineRule="auto"/>
        <w:rPr>
          <w:rFonts w:eastAsia="Times New Roman"/>
          <w:szCs w:val="20"/>
          <w:shd w:val="clear" w:color="auto" w:fill="FFFFFF"/>
          <w:lang w:eastAsia="en-US" w:bidi="ar-SA"/>
        </w:rPr>
      </w:pPr>
      <w:r w:rsidRPr="005830EE">
        <w:rPr>
          <w:rFonts w:eastAsia="Times New Roman"/>
          <w:szCs w:val="20"/>
          <w:shd w:val="clear" w:color="auto" w:fill="FFFFFF"/>
          <w:lang w:eastAsia="en-US" w:bidi="ar-SA"/>
        </w:rPr>
        <w:t>Zostały skorygowane również pozostałe punkty w Wieloletniej Prognozie Finansowej o wartości wynikające z powyższych zmian.</w:t>
      </w:r>
    </w:p>
    <w:p w:rsidR="005951D2" w:rsidRPr="005830EE" w:rsidRDefault="005951D2" w:rsidP="00E67C1E">
      <w:pPr>
        <w:tabs>
          <w:tab w:val="left" w:pos="566"/>
          <w:tab w:val="left" w:pos="2268"/>
        </w:tabs>
        <w:spacing w:line="276" w:lineRule="auto"/>
        <w:rPr>
          <w:rFonts w:eastAsia="Times New Roman"/>
          <w:szCs w:val="20"/>
          <w:shd w:val="clear" w:color="auto" w:fill="FFFFFF"/>
          <w:lang w:eastAsia="en-US" w:bidi="ar-SA"/>
        </w:rPr>
      </w:pPr>
    </w:p>
    <w:p w:rsidR="005951D2" w:rsidRPr="005830EE" w:rsidRDefault="00D7637E" w:rsidP="00E67C1E">
      <w:pPr>
        <w:tabs>
          <w:tab w:val="left" w:pos="566"/>
          <w:tab w:val="left" w:pos="2268"/>
        </w:tabs>
        <w:spacing w:line="276" w:lineRule="auto"/>
        <w:rPr>
          <w:rFonts w:eastAsia="Times New Roman"/>
          <w:b/>
          <w:szCs w:val="20"/>
          <w:shd w:val="clear" w:color="auto" w:fill="FFFFFF"/>
          <w:lang w:eastAsia="en-US" w:bidi="ar-SA"/>
        </w:rPr>
      </w:pPr>
      <w:r w:rsidRPr="005830EE">
        <w:rPr>
          <w:rFonts w:eastAsia="Times New Roman"/>
          <w:b/>
          <w:szCs w:val="20"/>
          <w:shd w:val="clear" w:color="auto" w:fill="FFFFFF"/>
          <w:lang w:eastAsia="en-US" w:bidi="ar-SA"/>
        </w:rPr>
        <w:lastRenderedPageBreak/>
        <w:t>Objaśnienia do załącznika Nr 2 – wykaz przedsięwzięć realizowanych w latach 2024 – 2041</w:t>
      </w:r>
    </w:p>
    <w:p w:rsidR="005951D2" w:rsidRPr="005830EE" w:rsidRDefault="00D7637E" w:rsidP="00E67C1E">
      <w:pPr>
        <w:numPr>
          <w:ilvl w:val="0"/>
          <w:numId w:val="1"/>
        </w:numPr>
        <w:tabs>
          <w:tab w:val="left" w:pos="709"/>
          <w:tab w:val="left" w:pos="2268"/>
        </w:tabs>
        <w:spacing w:line="276" w:lineRule="auto"/>
        <w:rPr>
          <w:rFonts w:eastAsia="Times New Roman"/>
          <w:szCs w:val="20"/>
          <w:shd w:val="clear" w:color="auto" w:fill="FFFFFF"/>
          <w:lang w:eastAsia="en-US" w:bidi="ar-SA"/>
        </w:rPr>
      </w:pPr>
      <w:r w:rsidRPr="005830EE">
        <w:rPr>
          <w:rFonts w:eastAsia="Times New Roman"/>
          <w:szCs w:val="20"/>
          <w:shd w:val="clear" w:color="auto" w:fill="FFFFFF"/>
          <w:lang w:eastAsia="en-US" w:bidi="ar-SA"/>
        </w:rPr>
        <w:t>W pozycji 1.3.1.1 „Funkcjonowanie systemu rowerów miejskich IV generacji” zmniejsza się wydatki w 2024 roku oraz łączne nakłady finansowe o kwotę 1.087.208,02 zł.</w:t>
      </w:r>
    </w:p>
    <w:p w:rsidR="005951D2" w:rsidRPr="005830EE" w:rsidRDefault="00D7637E" w:rsidP="00E67C1E">
      <w:pPr>
        <w:numPr>
          <w:ilvl w:val="0"/>
          <w:numId w:val="1"/>
        </w:numPr>
        <w:tabs>
          <w:tab w:val="left" w:pos="709"/>
          <w:tab w:val="left" w:pos="2268"/>
        </w:tabs>
        <w:spacing w:line="276" w:lineRule="auto"/>
        <w:rPr>
          <w:rFonts w:eastAsia="Times New Roman"/>
          <w:szCs w:val="20"/>
          <w:shd w:val="clear" w:color="auto" w:fill="FFFFFF"/>
          <w:lang w:eastAsia="en-US" w:bidi="ar-SA"/>
        </w:rPr>
      </w:pPr>
      <w:r w:rsidRPr="005830EE">
        <w:rPr>
          <w:rFonts w:eastAsia="Times New Roman"/>
          <w:szCs w:val="20"/>
          <w:shd w:val="clear" w:color="auto" w:fill="FFFFFF"/>
          <w:lang w:eastAsia="en-US" w:bidi="ar-SA"/>
        </w:rPr>
        <w:t>W pozycji 1.3.1.17 „program "dotacje"</w:t>
      </w:r>
      <w:r w:rsidRPr="005830EE">
        <w:rPr>
          <w:rFonts w:eastAsia="Times New Roman"/>
          <w:szCs w:val="20"/>
          <w:shd w:val="clear" w:color="auto" w:fill="FFFFFF"/>
        </w:rPr>
        <w:t>"</w:t>
      </w:r>
      <w:r w:rsidRPr="005830EE">
        <w:rPr>
          <w:rFonts w:eastAsia="Times New Roman"/>
          <w:szCs w:val="20"/>
          <w:shd w:val="clear" w:color="auto" w:fill="FFFFFF"/>
          <w:lang w:eastAsia="en-US" w:bidi="ar-SA"/>
        </w:rPr>
        <w:t xml:space="preserve"> (Udostępnienie platformy informatycznej wspomagającej obsługę procesów związanych z dotowaniem placówek niepublicznych</w:t>
      </w:r>
      <w:r w:rsidRPr="005830EE">
        <w:rPr>
          <w:rFonts w:eastAsia="Times New Roman"/>
          <w:szCs w:val="20"/>
          <w:shd w:val="clear" w:color="auto" w:fill="FFFFFF"/>
        </w:rPr>
        <w:t>,</w:t>
      </w:r>
      <w:r w:rsidRPr="005830EE">
        <w:rPr>
          <w:rFonts w:eastAsia="Times New Roman"/>
          <w:szCs w:val="20"/>
          <w:shd w:val="clear" w:color="auto" w:fill="FFFFFF"/>
          <w:lang w:eastAsia="en-US" w:bidi="ar-SA"/>
        </w:rPr>
        <w:t xml:space="preserve"> a także publicznych prowadzonych przez osoby fizyczne oraz praw</w:t>
      </w:r>
      <w:r w:rsidRPr="005830EE">
        <w:rPr>
          <w:rFonts w:eastAsia="Times New Roman"/>
          <w:szCs w:val="20"/>
          <w:shd w:val="clear" w:color="auto" w:fill="FFFFFF"/>
        </w:rPr>
        <w:t>n</w:t>
      </w:r>
      <w:r w:rsidRPr="005830EE">
        <w:rPr>
          <w:rFonts w:eastAsia="Times New Roman"/>
          <w:szCs w:val="20"/>
          <w:shd w:val="clear" w:color="auto" w:fill="FFFFFF"/>
          <w:lang w:eastAsia="en-US" w:bidi="ar-SA"/>
        </w:rPr>
        <w:t>e inne niż Miasto Chorzów) zwiększa się łączne nakłady o kwotę 28.200,00 zł, w tym w 2024 roku zmniejsza się o kwotę 1.300,00 zł oraz wydłuża się okres realizacji zadania do 2025 roku.</w:t>
      </w:r>
    </w:p>
    <w:p w:rsidR="005951D2" w:rsidRPr="005830EE" w:rsidRDefault="00D7637E" w:rsidP="00E67C1E">
      <w:pPr>
        <w:numPr>
          <w:ilvl w:val="0"/>
          <w:numId w:val="1"/>
        </w:numPr>
        <w:tabs>
          <w:tab w:val="left" w:pos="709"/>
          <w:tab w:val="left" w:pos="2268"/>
        </w:tabs>
        <w:spacing w:line="276" w:lineRule="auto"/>
        <w:rPr>
          <w:rFonts w:eastAsia="Times New Roman"/>
          <w:szCs w:val="20"/>
          <w:shd w:val="clear" w:color="auto" w:fill="FFFFFF"/>
          <w:lang w:eastAsia="en-US" w:bidi="ar-SA"/>
        </w:rPr>
      </w:pPr>
      <w:r w:rsidRPr="005830EE">
        <w:rPr>
          <w:rFonts w:eastAsia="Times New Roman"/>
          <w:szCs w:val="20"/>
          <w:shd w:val="clear" w:color="auto" w:fill="FFFFFF"/>
          <w:lang w:eastAsia="en-US" w:bidi="ar-SA"/>
        </w:rPr>
        <w:t>W pozycji 1.3.1.19 „Dostęp do portalu internetowego wspierającego tworzenie arkuszy organizacyjnych w jednostkach oświatowych” zwiększa się łączne nakłady o kwotę 60.500,00 zł, w tym w 2024 roku zmniejsza się o kwotę 11.000,00 zł oraz wydłuża się okres realizacji zadania do 2027 roku.</w:t>
      </w:r>
    </w:p>
    <w:p w:rsidR="005951D2" w:rsidRPr="005830EE" w:rsidRDefault="00D7637E" w:rsidP="00E67C1E">
      <w:pPr>
        <w:numPr>
          <w:ilvl w:val="0"/>
          <w:numId w:val="1"/>
        </w:numPr>
        <w:tabs>
          <w:tab w:val="left" w:pos="709"/>
          <w:tab w:val="left" w:pos="2268"/>
        </w:tabs>
        <w:spacing w:line="276" w:lineRule="auto"/>
        <w:rPr>
          <w:rFonts w:eastAsia="Times New Roman"/>
          <w:szCs w:val="20"/>
          <w:shd w:val="clear" w:color="auto" w:fill="FFFFFF"/>
          <w:lang w:eastAsia="en-US" w:bidi="ar-SA"/>
        </w:rPr>
      </w:pPr>
      <w:r w:rsidRPr="005830EE">
        <w:rPr>
          <w:rFonts w:eastAsia="Times New Roman"/>
          <w:szCs w:val="20"/>
          <w:shd w:val="clear" w:color="auto" w:fill="FFFFFF"/>
          <w:lang w:eastAsia="en-US" w:bidi="ar-SA"/>
        </w:rPr>
        <w:t>W pozycji 1.3.1.33 wprowadza się nowe zadanie pn. „Usługi bankowe i inne” realizowane w latach 2024-2025 o łącznych nakładach 129.150,00 zł.</w:t>
      </w:r>
    </w:p>
    <w:p w:rsidR="005951D2" w:rsidRPr="005830EE" w:rsidRDefault="00D7637E" w:rsidP="00E67C1E">
      <w:pPr>
        <w:numPr>
          <w:ilvl w:val="0"/>
          <w:numId w:val="1"/>
        </w:numPr>
        <w:tabs>
          <w:tab w:val="left" w:pos="709"/>
          <w:tab w:val="left" w:pos="2268"/>
        </w:tabs>
        <w:spacing w:line="276" w:lineRule="auto"/>
        <w:rPr>
          <w:rFonts w:eastAsia="Times New Roman"/>
          <w:szCs w:val="20"/>
          <w:shd w:val="clear" w:color="auto" w:fill="FFFFFF"/>
          <w:lang w:eastAsia="en-US" w:bidi="ar-SA"/>
        </w:rPr>
      </w:pPr>
      <w:r w:rsidRPr="005830EE">
        <w:rPr>
          <w:rFonts w:eastAsia="Times New Roman"/>
          <w:szCs w:val="20"/>
          <w:shd w:val="clear" w:color="auto" w:fill="FFFFFF"/>
          <w:lang w:eastAsia="en-US" w:bidi="ar-SA"/>
        </w:rPr>
        <w:t>W pozycji 1.3.2.21 „Rozbudowa drogi krajowej DK79 na odcinku od estakady do ul. 3-go Maja w Chorzowie, w ramach inwestycji: Budowa przystanku zintegrowanego Królewska Huta w rejonie ul. Metalowców i Krakusa w Chorzowie wraz z przebudową układu torowego, skomunikowaniem oraz uzbrojeniem terenów poprzemysłowych” zwiększa się nakłady o kwotę 2.268.272,00 zł.</w:t>
      </w:r>
    </w:p>
    <w:p w:rsidR="005951D2" w:rsidRPr="005830EE" w:rsidRDefault="00D7637E" w:rsidP="00E67C1E">
      <w:pPr>
        <w:numPr>
          <w:ilvl w:val="0"/>
          <w:numId w:val="1"/>
        </w:numPr>
        <w:tabs>
          <w:tab w:val="left" w:pos="709"/>
          <w:tab w:val="left" w:pos="2268"/>
        </w:tabs>
        <w:spacing w:line="276" w:lineRule="auto"/>
        <w:rPr>
          <w:rFonts w:eastAsia="Times New Roman"/>
          <w:szCs w:val="20"/>
          <w:shd w:val="clear" w:color="auto" w:fill="FFFFFF"/>
          <w:lang w:eastAsia="en-US" w:bidi="ar-SA"/>
        </w:rPr>
      </w:pPr>
      <w:r w:rsidRPr="005830EE">
        <w:rPr>
          <w:rFonts w:eastAsia="Times New Roman"/>
          <w:szCs w:val="20"/>
          <w:shd w:val="clear" w:color="auto" w:fill="FFFFFF"/>
          <w:lang w:eastAsia="en-US" w:bidi="ar-SA"/>
        </w:rPr>
        <w:t>W pozycji 1.3.2.28 zmienia się nazwę zadania z „Budowa ogólnodostępnych miejsc postojowych w rejonie ul. Katowickiej i ul. Krzywej” na „Budowa ogólnodostępnych miejsc postojowych w rejonie ul. Katowickiej i ul. Krzywej WPF - zwiększenie ilości miejsc postojowych w centrum Miasta - Etap I”.</w:t>
      </w:r>
    </w:p>
    <w:p w:rsidR="005951D2" w:rsidRPr="005830EE" w:rsidRDefault="00D7637E" w:rsidP="00E67C1E">
      <w:pPr>
        <w:numPr>
          <w:ilvl w:val="0"/>
          <w:numId w:val="1"/>
        </w:numPr>
        <w:tabs>
          <w:tab w:val="left" w:pos="709"/>
          <w:tab w:val="left" w:pos="2268"/>
        </w:tabs>
        <w:spacing w:line="276" w:lineRule="auto"/>
        <w:rPr>
          <w:rFonts w:eastAsia="Times New Roman"/>
          <w:szCs w:val="20"/>
          <w:shd w:val="clear" w:color="auto" w:fill="FFFFFF"/>
          <w:lang w:eastAsia="en-US" w:bidi="ar-SA"/>
        </w:rPr>
      </w:pPr>
      <w:r w:rsidRPr="005830EE">
        <w:rPr>
          <w:rFonts w:eastAsia="Times New Roman"/>
          <w:szCs w:val="20"/>
          <w:shd w:val="clear" w:color="auto" w:fill="FFFFFF"/>
          <w:lang w:eastAsia="en-US" w:bidi="ar-SA"/>
        </w:rPr>
        <w:t>W pozycji 1.3.2.73 „Przebudowa ul. Parkowej w Chorzowie” zmniejsza się nakłady o kwotę 2.268.272,00 zł.</w:t>
      </w:r>
    </w:p>
    <w:p w:rsidR="005951D2" w:rsidRPr="005830EE" w:rsidRDefault="00D7637E" w:rsidP="00E67C1E">
      <w:pPr>
        <w:numPr>
          <w:ilvl w:val="0"/>
          <w:numId w:val="1"/>
        </w:numPr>
        <w:tabs>
          <w:tab w:val="left" w:pos="709"/>
          <w:tab w:val="left" w:pos="2268"/>
        </w:tabs>
        <w:spacing w:line="276" w:lineRule="auto"/>
        <w:rPr>
          <w:rFonts w:eastAsia="Times New Roman"/>
          <w:color w:val="000000"/>
          <w:szCs w:val="20"/>
          <w:shd w:val="clear" w:color="auto" w:fill="FFFFFF"/>
          <w:lang w:eastAsia="en-US" w:bidi="ar-SA"/>
        </w:rPr>
      </w:pPr>
      <w:r w:rsidRPr="005830EE">
        <w:rPr>
          <w:rFonts w:eastAsia="Times New Roman"/>
          <w:szCs w:val="20"/>
          <w:shd w:val="clear" w:color="auto" w:fill="FFFFFF"/>
          <w:lang w:eastAsia="en-US" w:bidi="ar-SA"/>
        </w:rPr>
        <w:t xml:space="preserve">W pozycji 1.3.2.136 zmienia się nazwę zadania z „Budowa sygnalizacji świetlnych </w:t>
      </w:r>
      <w:r w:rsidRPr="005830EE">
        <w:rPr>
          <w:rFonts w:eastAsia="Times New Roman"/>
          <w:szCs w:val="20"/>
          <w:shd w:val="clear" w:color="auto" w:fill="FFFFFF"/>
        </w:rPr>
        <w:t>na węźle -</w:t>
      </w:r>
      <w:r w:rsidRPr="005830EE">
        <w:rPr>
          <w:rFonts w:eastAsia="Times New Roman"/>
          <w:szCs w:val="20"/>
          <w:shd w:val="clear" w:color="auto" w:fill="FFFFFF"/>
          <w:lang w:eastAsia="en-US" w:bidi="ar-SA"/>
        </w:rPr>
        <w:t xml:space="preserve"> łącznica DTŚ i ul. Dąbrowskiego” na „Budowa sygnalizacji świetlnych łącznica DTŚ i ul. Dąbrowskiego w Chorzowie”.</w:t>
      </w:r>
    </w:p>
    <w:sectPr w:rsidR="005951D2" w:rsidRPr="005830EE" w:rsidSect="005951D2">
      <w:footerReference w:type="default" r:id="rId11"/>
      <w:pgSz w:w="11894" w:h="16834"/>
      <w:pgMar w:top="1440" w:right="1440" w:bottom="1440" w:left="144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0B28" w:rsidRDefault="00E00B28" w:rsidP="005951D2">
      <w:r>
        <w:separator/>
      </w:r>
    </w:p>
  </w:endnote>
  <w:endnote w:type="continuationSeparator" w:id="0">
    <w:p w:rsidR="00E00B28" w:rsidRDefault="00E00B28" w:rsidP="005951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192"/>
      <w:gridCol w:w="3096"/>
    </w:tblGrid>
    <w:tr w:rsidR="005951D2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5951D2" w:rsidRDefault="00D7637E">
          <w:pPr>
            <w:jc w:val="left"/>
            <w:rPr>
              <w:sz w:val="18"/>
            </w:rPr>
          </w:pPr>
          <w:r>
            <w:rPr>
              <w:sz w:val="18"/>
            </w:rPr>
            <w:t>Id: 5ECA9F2F-0A57-4904-BA44-4A45B4307BE3. 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5951D2" w:rsidRDefault="00D7637E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E05CF9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E05CF9">
            <w:rPr>
              <w:sz w:val="18"/>
            </w:rPr>
            <w:fldChar w:fldCharType="separate"/>
          </w:r>
          <w:r w:rsidR="002B6D76">
            <w:rPr>
              <w:noProof/>
              <w:sz w:val="18"/>
            </w:rPr>
            <w:t>1</w:t>
          </w:r>
          <w:r w:rsidR="00E05CF9">
            <w:rPr>
              <w:sz w:val="18"/>
            </w:rPr>
            <w:fldChar w:fldCharType="end"/>
          </w:r>
        </w:p>
      </w:tc>
    </w:tr>
  </w:tbl>
  <w:p w:rsidR="005951D2" w:rsidRDefault="005951D2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192"/>
      <w:gridCol w:w="3096"/>
    </w:tblGrid>
    <w:tr w:rsidR="005951D2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5951D2" w:rsidRDefault="00D7637E">
          <w:pPr>
            <w:jc w:val="left"/>
            <w:rPr>
              <w:sz w:val="18"/>
            </w:rPr>
          </w:pPr>
          <w:r>
            <w:rPr>
              <w:sz w:val="18"/>
            </w:rPr>
            <w:t>Id: 5ECA9F2F-0A57-4904-BA44-4A45B4307BE3. 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5951D2" w:rsidRDefault="00D7637E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E05CF9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E05CF9">
            <w:rPr>
              <w:sz w:val="18"/>
            </w:rPr>
            <w:fldChar w:fldCharType="separate"/>
          </w:r>
          <w:r w:rsidR="002B6D76">
            <w:rPr>
              <w:noProof/>
              <w:sz w:val="18"/>
            </w:rPr>
            <w:t>1</w:t>
          </w:r>
          <w:r w:rsidR="00E05CF9">
            <w:rPr>
              <w:sz w:val="18"/>
            </w:rPr>
            <w:fldChar w:fldCharType="end"/>
          </w:r>
        </w:p>
      </w:tc>
    </w:tr>
  </w:tbl>
  <w:p w:rsidR="005951D2" w:rsidRDefault="005951D2">
    <w:pPr>
      <w:rPr>
        <w:sz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153"/>
      <w:gridCol w:w="3077"/>
    </w:tblGrid>
    <w:tr w:rsidR="005951D2">
      <w:tc>
        <w:tcPr>
          <w:tcW w:w="6009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5951D2" w:rsidRDefault="00D7637E">
          <w:pPr>
            <w:jc w:val="left"/>
            <w:rPr>
              <w:sz w:val="18"/>
            </w:rPr>
          </w:pPr>
          <w:r>
            <w:rPr>
              <w:sz w:val="18"/>
            </w:rPr>
            <w:t>Id: 5ECA9F2F-0A57-4904-BA44-4A45B4307BE3. Projekt</w:t>
          </w:r>
        </w:p>
      </w:tc>
      <w:tc>
        <w:tcPr>
          <w:tcW w:w="3005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5951D2" w:rsidRDefault="00D7637E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E05CF9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E05CF9">
            <w:rPr>
              <w:sz w:val="18"/>
            </w:rPr>
            <w:fldChar w:fldCharType="separate"/>
          </w:r>
          <w:r w:rsidR="002B6D76">
            <w:rPr>
              <w:noProof/>
              <w:sz w:val="18"/>
            </w:rPr>
            <w:t>3</w:t>
          </w:r>
          <w:r w:rsidR="00E05CF9">
            <w:rPr>
              <w:sz w:val="18"/>
            </w:rPr>
            <w:fldChar w:fldCharType="end"/>
          </w:r>
        </w:p>
      </w:tc>
    </w:tr>
  </w:tbl>
  <w:p w:rsidR="005951D2" w:rsidRDefault="005951D2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0B28" w:rsidRDefault="00E00B28" w:rsidP="005951D2">
      <w:r>
        <w:separator/>
      </w:r>
    </w:p>
  </w:footnote>
  <w:footnote w:type="continuationSeparator" w:id="0">
    <w:p w:rsidR="00E00B28" w:rsidRDefault="00E00B28" w:rsidP="005951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F8716D"/>
    <w:multiLevelType w:val="hybridMultilevel"/>
    <w:tmpl w:val="00000000"/>
    <w:lvl w:ilvl="0" w:tplc="81EA7F44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D614486A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91B8E756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 w:tplc="8CCAA9C0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 w:tplc="ADE4A542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5A5E530E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 w:tplc="D284C34E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290AB8AA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CF487D86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2B6D76"/>
    <w:rsid w:val="005830EE"/>
    <w:rsid w:val="005951D2"/>
    <w:rsid w:val="00A77B3E"/>
    <w:rsid w:val="00CA2A55"/>
    <w:rsid w:val="00D7637E"/>
    <w:rsid w:val="00E00B28"/>
    <w:rsid w:val="00E05CF9"/>
    <w:rsid w:val="00E67C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5951D2"/>
    <w:pPr>
      <w:jc w:val="both"/>
    </w:pPr>
    <w:rPr>
      <w:rFonts w:ascii="Arial" w:eastAsia="Arial" w:hAnsi="Arial" w:cs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RUKI\9_KADEN\na%20VII%20sesj&#281;%20RM%20-%2026.09.2024%20r\2%20wysy&#322;ka_1%20tydzie&#324;%20przed%20sesj&#261;%20-%20komplety%20projekt&#243;w%20uchwa&#322;\Zalacznik1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file:///C:\DRUKI\9_KADEN\na%20VII%20sesj&#281;%20RM%20-%2026.09.2024%20r\2%20wysy&#322;ka_1%20tydzie&#324;%20przed%20sesj&#261;%20-%20komplety%20projekt&#243;w%20uchwa&#322;\Zalacznik2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1037</Words>
  <Characters>6228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Miasta Chorzów</Company>
  <LinksUpToDate>false</LinksUpToDate>
  <CharactersWithSpaces>7251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o zmianie uchwały Nr LXXI/1129/2023 Rady Miasta Chorzów z^dnia 14^grudnia 2023^r. w^sprawie uchwalenia Wieloletniej Prognozy Finansowej Miasta Chorzów</dc:subject>
  <dc:creator>pietrzyk_e</dc:creator>
  <cp:lastModifiedBy>Elżbieta Pietrzyk</cp:lastModifiedBy>
  <cp:revision>2</cp:revision>
  <dcterms:created xsi:type="dcterms:W3CDTF">2024-09-25T12:34:00Z</dcterms:created>
  <dcterms:modified xsi:type="dcterms:W3CDTF">2024-09-25T12:34:00Z</dcterms:modified>
  <cp:category>Akt prawny</cp:category>
</cp:coreProperties>
</file>