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03E01" w:rsidRDefault="00B658F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03E01">
        <w:rPr>
          <w:rFonts w:eastAsia="Times New Roman"/>
          <w:b/>
          <w:i/>
          <w:szCs w:val="20"/>
          <w:u w:val="thick"/>
        </w:rPr>
        <w:t>Projekt</w:t>
      </w:r>
    </w:p>
    <w:p w:rsidR="00A77B3E" w:rsidRPr="00403E01" w:rsidRDefault="0058086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50</w:t>
      </w:r>
    </w:p>
    <w:p w:rsidR="00A77B3E" w:rsidRPr="00403E0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03E0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03E01" w:rsidRDefault="00B658F1">
      <w:pPr>
        <w:jc w:val="center"/>
        <w:rPr>
          <w:b/>
          <w:caps/>
          <w:szCs w:val="20"/>
        </w:rPr>
      </w:pPr>
      <w:r w:rsidRPr="00403E01">
        <w:rPr>
          <w:b/>
          <w:caps/>
          <w:szCs w:val="20"/>
        </w:rPr>
        <w:t>Uchwała Nr ....................</w:t>
      </w:r>
      <w:r w:rsidRPr="00403E01">
        <w:rPr>
          <w:b/>
          <w:caps/>
          <w:szCs w:val="20"/>
        </w:rPr>
        <w:br/>
        <w:t>Rady Miasta Chorzów</w:t>
      </w:r>
    </w:p>
    <w:p w:rsidR="00A77B3E" w:rsidRPr="00403E01" w:rsidRDefault="00B658F1">
      <w:pPr>
        <w:spacing w:before="280" w:after="280"/>
        <w:jc w:val="center"/>
        <w:rPr>
          <w:b/>
          <w:caps/>
          <w:szCs w:val="20"/>
        </w:rPr>
      </w:pPr>
      <w:r w:rsidRPr="00403E01">
        <w:rPr>
          <w:szCs w:val="20"/>
        </w:rPr>
        <w:t>z dnia .................... 2024 r.</w:t>
      </w:r>
    </w:p>
    <w:p w:rsidR="00A77B3E" w:rsidRPr="00403E01" w:rsidRDefault="00B658F1">
      <w:pPr>
        <w:keepNext/>
        <w:spacing w:after="480"/>
        <w:jc w:val="center"/>
        <w:rPr>
          <w:szCs w:val="20"/>
        </w:rPr>
      </w:pPr>
      <w:r w:rsidRPr="00403E01">
        <w:rPr>
          <w:b/>
          <w:szCs w:val="20"/>
        </w:rPr>
        <w:t>o zmianie uchwały Nr LXXI/1129/2023 Rady Miasta Chorzów z dnia 14 grudnia 2023 r. w sprawie uchwalenia Wieloletniej Prognozy Finansowej Miasta Chorzów</w:t>
      </w:r>
    </w:p>
    <w:p w:rsidR="00A77B3E" w:rsidRPr="00403E01" w:rsidRDefault="00B658F1">
      <w:pPr>
        <w:keepLines/>
        <w:spacing w:before="120" w:after="120"/>
        <w:ind w:firstLine="283"/>
        <w:rPr>
          <w:szCs w:val="20"/>
        </w:rPr>
      </w:pPr>
      <w:r w:rsidRPr="00403E01">
        <w:rPr>
          <w:szCs w:val="20"/>
        </w:rPr>
        <w:t>Na podstawie art.18 ust.2 pkt 15 ustawy z dnia 8 marca 1990 r. o samorządzie gminnym (t.j. Dz.U. z 2024 r. poz.609 z późn. zm.), art.12 pkt 11 w związku z art.92 ust.1 pkt 1 oraz ust.2 ustawy z dnia 5 czerwca 1998 r. o samorządzie powiatowym (t.j. Dz.U. z 2024 r. poz.107), art.226, art.227, art.228, art.230 ust.6, art.231, art.232, art.242 ust.1 i art.243 ustawy z dnia 27 sierpnia 2009 r. o finansach publicznych (t.j. Dz.U. z 2023 r. poz.1270 z późn. zm.)</w:t>
      </w:r>
    </w:p>
    <w:p w:rsidR="00A77B3E" w:rsidRPr="00403E01" w:rsidRDefault="00B658F1">
      <w:pPr>
        <w:spacing w:before="120" w:after="120"/>
        <w:jc w:val="center"/>
        <w:rPr>
          <w:b/>
          <w:szCs w:val="20"/>
        </w:rPr>
      </w:pPr>
      <w:r w:rsidRPr="00403E01">
        <w:rPr>
          <w:b/>
          <w:szCs w:val="20"/>
        </w:rPr>
        <w:t>Rada Miasta Chorzów</w:t>
      </w:r>
      <w:r w:rsidRPr="00403E01">
        <w:rPr>
          <w:b/>
          <w:szCs w:val="20"/>
        </w:rPr>
        <w:br/>
        <w:t>postanawia</w:t>
      </w:r>
    </w:p>
    <w:p w:rsidR="001034B4" w:rsidRPr="00403E01" w:rsidRDefault="00B658F1">
      <w:pPr>
        <w:keepNext/>
        <w:spacing w:before="280"/>
        <w:jc w:val="center"/>
        <w:rPr>
          <w:szCs w:val="20"/>
        </w:rPr>
      </w:pPr>
      <w:r w:rsidRPr="00403E01">
        <w:rPr>
          <w:b/>
          <w:szCs w:val="20"/>
        </w:rPr>
        <w:t>§ 1. </w:t>
      </w:r>
    </w:p>
    <w:p w:rsidR="00A77B3E" w:rsidRPr="00403E01" w:rsidRDefault="00B658F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 do niniejszej uchwały.</w:t>
      </w:r>
    </w:p>
    <w:p w:rsidR="001034B4" w:rsidRPr="00403E01" w:rsidRDefault="00B658F1">
      <w:pPr>
        <w:keepNext/>
        <w:spacing w:before="280"/>
        <w:jc w:val="center"/>
        <w:rPr>
          <w:szCs w:val="20"/>
        </w:rPr>
      </w:pPr>
      <w:r w:rsidRPr="00403E01">
        <w:rPr>
          <w:b/>
          <w:szCs w:val="20"/>
        </w:rPr>
        <w:t>§ 2. </w:t>
      </w:r>
    </w:p>
    <w:p w:rsidR="00A77B3E" w:rsidRPr="00403E01" w:rsidRDefault="00B658F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 do niniejszej uchwały.</w:t>
      </w:r>
    </w:p>
    <w:p w:rsidR="001034B4" w:rsidRPr="00403E01" w:rsidRDefault="00B658F1">
      <w:pPr>
        <w:keepNext/>
        <w:spacing w:before="280"/>
        <w:jc w:val="center"/>
        <w:rPr>
          <w:szCs w:val="20"/>
        </w:rPr>
      </w:pPr>
      <w:r w:rsidRPr="00403E01">
        <w:rPr>
          <w:b/>
          <w:szCs w:val="20"/>
        </w:rPr>
        <w:t>§ 3. </w:t>
      </w:r>
    </w:p>
    <w:p w:rsidR="00A77B3E" w:rsidRPr="00403E01" w:rsidRDefault="00B658F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403E01" w:rsidRDefault="00B658F1">
      <w:pPr>
        <w:keepLines/>
        <w:spacing w:before="120" w:after="120"/>
        <w:ind w:left="340" w:hanging="113"/>
        <w:rPr>
          <w:szCs w:val="20"/>
        </w:rPr>
      </w:pPr>
      <w:r w:rsidRPr="00403E01">
        <w:rPr>
          <w:szCs w:val="20"/>
        </w:rPr>
        <w:t>„§ 3. Określić wysokość zabezpieczonych w 2024 r. środków na świadczenia pracownicze na poziomie 418.705.103,77 zł.”.</w:t>
      </w:r>
    </w:p>
    <w:p w:rsidR="001034B4" w:rsidRPr="00403E01" w:rsidRDefault="00B658F1">
      <w:pPr>
        <w:keepNext/>
        <w:spacing w:before="280"/>
        <w:jc w:val="center"/>
        <w:rPr>
          <w:szCs w:val="20"/>
        </w:rPr>
      </w:pPr>
      <w:r w:rsidRPr="00403E01">
        <w:rPr>
          <w:b/>
          <w:szCs w:val="20"/>
        </w:rPr>
        <w:t>§ 4. </w:t>
      </w:r>
    </w:p>
    <w:p w:rsidR="00A77B3E" w:rsidRPr="00403E01" w:rsidRDefault="00B658F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Wykonanie uchwały powierza się Prezydentowi Miasta Chorzów.</w:t>
      </w:r>
    </w:p>
    <w:p w:rsidR="001034B4" w:rsidRPr="00403E01" w:rsidRDefault="00B658F1">
      <w:pPr>
        <w:keepNext/>
        <w:spacing w:before="280"/>
        <w:jc w:val="center"/>
        <w:rPr>
          <w:szCs w:val="20"/>
        </w:rPr>
      </w:pPr>
      <w:r w:rsidRPr="00403E01">
        <w:rPr>
          <w:b/>
          <w:szCs w:val="20"/>
        </w:rPr>
        <w:t>§ 5. </w:t>
      </w:r>
    </w:p>
    <w:p w:rsidR="00A77B3E" w:rsidRPr="00403E01" w:rsidRDefault="00B658F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Uchwała wchodzi w życie z dniem podjęcia.</w:t>
      </w:r>
    </w:p>
    <w:p w:rsidR="00403E01" w:rsidRPr="00403E01" w:rsidRDefault="00403E01">
      <w:pPr>
        <w:keepLines/>
        <w:spacing w:before="120" w:after="120"/>
        <w:rPr>
          <w:szCs w:val="20"/>
        </w:rPr>
      </w:pPr>
    </w:p>
    <w:p w:rsidR="00403E01" w:rsidRPr="00403E01" w:rsidRDefault="00403E0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RADCA PRAWNY</w:t>
      </w:r>
    </w:p>
    <w:p w:rsidR="00403E01" w:rsidRPr="00403E01" w:rsidRDefault="00403E01">
      <w:pPr>
        <w:keepLines/>
        <w:spacing w:before="120" w:after="120"/>
        <w:rPr>
          <w:szCs w:val="20"/>
        </w:rPr>
      </w:pPr>
      <w:r w:rsidRPr="00403E01">
        <w:rPr>
          <w:szCs w:val="20"/>
        </w:rPr>
        <w:t>/-/ Dawid Karol</w:t>
      </w:r>
    </w:p>
    <w:p w:rsidR="00403E01" w:rsidRPr="00403E01" w:rsidRDefault="00403E01">
      <w:pPr>
        <w:keepLines/>
        <w:spacing w:before="120" w:after="120"/>
        <w:rPr>
          <w:szCs w:val="20"/>
        </w:rPr>
      </w:pPr>
    </w:p>
    <w:p w:rsidR="00403E01" w:rsidRPr="00403E01" w:rsidRDefault="00403E01">
      <w:pPr>
        <w:keepLines/>
        <w:spacing w:before="120" w:after="120"/>
        <w:rPr>
          <w:szCs w:val="20"/>
        </w:rPr>
        <w:sectPr w:rsidR="00403E01" w:rsidRPr="00403E01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3E01" w:rsidRPr="00403E01" w:rsidRDefault="0029050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03E01">
        <w:rPr>
          <w:szCs w:val="20"/>
        </w:rPr>
        <w:lastRenderedPageBreak/>
        <w:fldChar w:fldCharType="begin"/>
      </w:r>
      <w:r w:rsidRPr="00403E01">
        <w:rPr>
          <w:szCs w:val="20"/>
        </w:rPr>
        <w:fldChar w:fldCharType="end"/>
      </w:r>
      <w:r w:rsidR="00B658F1" w:rsidRPr="00403E01">
        <w:rPr>
          <w:szCs w:val="20"/>
        </w:rPr>
        <w:t>Załącznik Nr 1 do uchwały Nr ....................</w:t>
      </w:r>
      <w:r w:rsidR="00B658F1" w:rsidRPr="00403E01">
        <w:rPr>
          <w:szCs w:val="20"/>
        </w:rPr>
        <w:br/>
        <w:t xml:space="preserve">Rady Miasta Chorzów </w:t>
      </w:r>
      <w:r w:rsidR="00B658F1" w:rsidRPr="00403E01">
        <w:rPr>
          <w:szCs w:val="20"/>
        </w:rPr>
        <w:br/>
        <w:t>z dnia .................... 2024 r.</w:t>
      </w:r>
      <w:r w:rsidR="00B658F1" w:rsidRPr="00403E01">
        <w:rPr>
          <w:szCs w:val="20"/>
        </w:rPr>
        <w:br/>
      </w:r>
      <w:hyperlink r:id="rId8" w:history="1">
        <w:r w:rsidR="00B658F1" w:rsidRPr="00403E01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403E01" w:rsidRDefault="0029050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03E01">
        <w:rPr>
          <w:szCs w:val="20"/>
        </w:rPr>
        <w:fldChar w:fldCharType="begin"/>
      </w:r>
      <w:r w:rsidRPr="00403E01">
        <w:rPr>
          <w:szCs w:val="20"/>
        </w:rPr>
        <w:fldChar w:fldCharType="end"/>
      </w:r>
      <w:r w:rsidR="00B658F1" w:rsidRPr="00403E01">
        <w:rPr>
          <w:szCs w:val="20"/>
        </w:rPr>
        <w:t>Załącznik Nr 2 do uchwały Nr ....................</w:t>
      </w:r>
      <w:r w:rsidR="00B658F1" w:rsidRPr="00403E01">
        <w:rPr>
          <w:szCs w:val="20"/>
        </w:rPr>
        <w:br/>
        <w:t xml:space="preserve">Rady Miasta Chorzów </w:t>
      </w:r>
      <w:r w:rsidR="00B658F1" w:rsidRPr="00403E01">
        <w:rPr>
          <w:szCs w:val="20"/>
        </w:rPr>
        <w:br/>
        <w:t>z dnia .................... 2024 r.</w:t>
      </w:r>
      <w:r w:rsidR="00B658F1" w:rsidRPr="00403E01">
        <w:rPr>
          <w:szCs w:val="20"/>
        </w:rPr>
        <w:br/>
      </w:r>
      <w:hyperlink r:id="rId9" w:history="1">
        <w:r w:rsidR="00B658F1" w:rsidRPr="00403E01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403E01" w:rsidRPr="00403E01" w:rsidRDefault="00403E01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03E01" w:rsidRPr="00403E01" w:rsidRDefault="00403E01">
      <w:pPr>
        <w:keepLines/>
        <w:spacing w:before="280" w:after="280" w:line="360" w:lineRule="auto"/>
        <w:ind w:left="4535"/>
        <w:jc w:val="left"/>
        <w:rPr>
          <w:szCs w:val="20"/>
        </w:rPr>
        <w:sectPr w:rsidR="00403E01" w:rsidRPr="00403E01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034B4" w:rsidRPr="00403E01" w:rsidRDefault="001034B4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OBJAŚNIENIA</w:t>
      </w: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Do Uchwały Nr ……</w:t>
      </w: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Rady Miasta Chorzów</w:t>
      </w: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z dnia ………...2024r.</w:t>
      </w: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w sprawie zmiany Wieloletniej Prognozy Finansowej Miasta Chorzów na lata 2024 – 2027</w:t>
      </w: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ab/>
      </w:r>
    </w:p>
    <w:p w:rsidR="001034B4" w:rsidRPr="00403E01" w:rsidRDefault="001034B4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709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następstwie zmian wynikających z projektu uchwały Nr …….. Rady Miasta Chorzów z dnia …… o zmianie uchwały Nr LXXI/1128/2023 Rady Miasta Chorzów z dnia 14 grudnia 2023 roku w sprawie uchwały budżetowej Miasta Chorzów na rok 2024 oraz Zarządzeń Prezydenta Miasta na dzień 11 lipca 2024r. przedstawiam projekt uchwały ……. Rady Miasta Chorzów z dnia ……. 2024 o zmianie uchwały Nr LXXI/1129/2023 Rady Miasta Chorzów z dnia 14 grudnia 2023 r. w sprawie uchwalenia Wieloletniej Prognozy Finansowej Miasta Chorzów. W treści uchwały w § 3</w:t>
      </w: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określono wysokość zabezpieczonych w 2024 r. środków na świadczenia pracownicze na poziomie 418.705.103,77 zł. Wartość ta wynika z następujących paragrafów klasyfikacji budżetowej: 4010, 4040, 4050, 4080, 4110, 4120, 4710, 4790, 4800 oraz części nierozdysponowanej rezerwy celowej przeznaczonej na odprawy.</w:t>
      </w:r>
    </w:p>
    <w:p w:rsidR="001034B4" w:rsidRPr="00403E01" w:rsidRDefault="001034B4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Objaśnienia do załącznika Nr 1 - Wieloletnia Prognoza Finansowa Miasta Chorzów na lata 2024-2027.</w:t>
      </w:r>
    </w:p>
    <w:p w:rsidR="001034B4" w:rsidRPr="00403E01" w:rsidRDefault="001034B4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Po zmianach dochody Miasta Chorzów na 2024 rok wynoszą 933.026.904,71 zł, w tym dochody bieżące – 848.845.008,74 zł, dochody majątkowe 84.181.895,97 zł.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Po zmianach wydatki Miasta Chorzów na 2024 rok wynoszą 997.357.260,37 zł, w tym wydatki bieżące – 856.618.075,32 zł, wydatki majątkowe 140.739.185,05 zł.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Po zmianach przychody Miasta Chorzów na 2024 rok wynoszą 82.442.374,50 zł.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Po zmianach rozchody Miasta Chorzów na 2024 rok wynoszą 18.112.018,84 zł.</w:t>
      </w:r>
    </w:p>
    <w:p w:rsidR="001034B4" w:rsidRPr="00403E01" w:rsidRDefault="001034B4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Dochody bieżące:</w:t>
      </w: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W roku 2024 dochody bieżące zostały skorygowane w związku ze zmianami wynikającymi z projektu uchwały budżetowej oraz Zarządzeń Prezydenta Miasta. Korekcie uległa pozycje 1.1.4 dochody z tytułu dotacji i środków przeznaczonych na cele bieżące  oraz 1.1.5 pozostałe dochody bieżące. W roku 2025, 2026 i 2027 dochody bieżące zostały skorygowane z tytułu dotacji i środków przeznaczonych na cele bieżące.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Dochody majątkowe:</w:t>
      </w: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W roku 2024 dochody majątkowe zostały skorygowane w związku ze zmianami wynikającymi z projektu uchwały budżetowej w pozycji 1.2.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Uzasadnienie zmian wydatków:</w:t>
      </w:r>
    </w:p>
    <w:p w:rsidR="001034B4" w:rsidRPr="00403E01" w:rsidRDefault="00B658F1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Wydatki bieżące: </w:t>
      </w: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Zmiana w roku 2024 związana jest ze zmianami w projektu uchwały budżetowej oraz zmianami wynikającymi z Zarządzeń Prezydenta Miasta. W roku 2025, 2026 i 2027 roku wydatki bieżące zostały zwiększone w związku z wprowadzeniem zadania „  Zakup i montaż w charakterystycznych lokalizacjach gminy tablic, wyświetlaczy LED w celu informowania mieszkańców o stanie jakości powietrza”</w:t>
      </w: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Wydatki majątkowe: </w:t>
      </w: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roku 2024 wydatki majątkowe skorygowano w związku ze zmianami  wynikającymi z projektu  uchwały budżetowej oraz Zarządzeń Prezydenta Miasta.</w:t>
      </w:r>
    </w:p>
    <w:p w:rsidR="001034B4" w:rsidRPr="00403E01" w:rsidRDefault="001034B4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1034B4" w:rsidRPr="00403E01" w:rsidRDefault="001034B4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1034B4" w:rsidRPr="00403E01" w:rsidRDefault="00B658F1">
      <w:pPr>
        <w:tabs>
          <w:tab w:val="left" w:pos="566"/>
          <w:tab w:val="left" w:pos="2268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>Objaśnienia do załącznika Nr 2 – wykaz przedsięwzięć realizowanych w latach 2024 – 2041</w:t>
      </w:r>
    </w:p>
    <w:p w:rsidR="001034B4" w:rsidRPr="00403E01" w:rsidRDefault="00B658F1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pozycjach 1.3.1.29 „Zwiększenie cyberbezpieczeństwa w Chorzowie” została skorygowana wielkość nakładów do kwoty 40.459,60 zł.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1.3.1.31. wpisuje się nowe zadanie „Przeprowadzenie audytu”  w kwocie 200.000,00 zł w roku 2024 oraz 50.000,00 w roku 2025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1.3.1.32. wpisuje się nowe zadanie  „Zakup i montaż w charakterystycznych lokalizacjach gminy tablic, wyświetlaczy LED w celu informowania mieszkańców o stanie jakości powietrza” o łącznych nakładach 110.792,60 zł w latach 2024 – 2027.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1.3.2.2 „Projekt i budowa sali gimnastycznej dla SP nr 15 przy ul. 3 go maja 78 w Chorzowie” zmniejszyć nakład finansowe o 120.000,00 zł w roku 2025 w związku z przesunięciem kwoty na inne zadanie.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1.3.2.94 „Budowa przedłużenia ul. P. Skargi do połączenia z ul. Kościuszki” zmniejszyć nakłady o 20.000,00 zł w roku 2025.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1.3.2.102 „Kompleksowa rewitalizacja terenu " Doliny Górnika" w Chorzowie” zmniejszenie nakładów w roku 2024 o 250.000,00 zł w związku z przesunięciem na inne zadanie.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1.3.2.108 „Termomodernizacja budynku Zespołu Szkolno-Przedszkolnego nr 1 przy ul. Głównej 21” dokonuje się zwiększenia nakładów o kwotę 3.600,00 zł.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1.3.2.138 „Hydrofobizacja elewacji w Przedszkolu nr 6 przy ul.Gałeczki 56” zwiększa się nakłady w roku 2025 o kwotę 70.000,00 zł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1.3.2.159 „Zwiększenie cyberbezpieczeństwa w Chorzowie” uwzględniono korektę nakładów do kwoty całkowitej w wysokości 296.703,46 zł.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1.3.2.161 wprowadzono nowe zadanie „Budowa miejsc parkingowych na osiedlu Rodziny Oswaldów” o łącznych nakładach finansowych w wysokości 183.264,00 zł.</w:t>
      </w:r>
    </w:p>
    <w:p w:rsidR="001034B4" w:rsidRPr="00403E01" w:rsidRDefault="00B658F1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03E01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W pozycji 1.3.2.162 wprowadzono nowe zadanie „Modernizacja pomieszczeń zaplecza szatniowego w Zespole Szkół Budowlanych w Chorzowie- etap II” w latach 2024 – 2025 o łącznych nakładach 300.000,00 zł.</w:t>
      </w:r>
    </w:p>
    <w:p w:rsidR="001034B4" w:rsidRPr="00403E01" w:rsidRDefault="001034B4">
      <w:pPr>
        <w:tabs>
          <w:tab w:val="left" w:pos="709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1034B4" w:rsidRDefault="001034B4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1034B4" w:rsidSect="001034B4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B7" w:rsidRDefault="007457B7" w:rsidP="001034B4">
      <w:r>
        <w:separator/>
      </w:r>
    </w:p>
  </w:endnote>
  <w:endnote w:type="continuationSeparator" w:id="0">
    <w:p w:rsidR="007457B7" w:rsidRDefault="007457B7" w:rsidP="0010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034B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4B4" w:rsidRDefault="00B658F1">
          <w:pPr>
            <w:jc w:val="left"/>
            <w:rPr>
              <w:sz w:val="18"/>
            </w:rPr>
          </w:pPr>
          <w:r>
            <w:rPr>
              <w:sz w:val="18"/>
            </w:rPr>
            <w:t>Id: BAA1E454-F293-473E-81A5-B7BCB8670902.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4B4" w:rsidRDefault="00B658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905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0502">
            <w:rPr>
              <w:sz w:val="18"/>
            </w:rPr>
            <w:fldChar w:fldCharType="separate"/>
          </w:r>
          <w:r w:rsidR="00580868">
            <w:rPr>
              <w:noProof/>
              <w:sz w:val="18"/>
            </w:rPr>
            <w:t>1</w:t>
          </w:r>
          <w:r w:rsidR="00290502">
            <w:rPr>
              <w:sz w:val="18"/>
            </w:rPr>
            <w:fldChar w:fldCharType="end"/>
          </w:r>
        </w:p>
      </w:tc>
    </w:tr>
  </w:tbl>
  <w:p w:rsidR="001034B4" w:rsidRDefault="001034B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034B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4B4" w:rsidRDefault="00B658F1">
          <w:pPr>
            <w:jc w:val="left"/>
            <w:rPr>
              <w:sz w:val="18"/>
            </w:rPr>
          </w:pPr>
          <w:r>
            <w:rPr>
              <w:sz w:val="18"/>
            </w:rPr>
            <w:t>Id: BAA1E454-F293-473E-81A5-B7BCB8670902.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4B4" w:rsidRDefault="00B658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905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0502">
            <w:rPr>
              <w:sz w:val="18"/>
            </w:rPr>
            <w:fldChar w:fldCharType="separate"/>
          </w:r>
          <w:r w:rsidR="00580868">
            <w:rPr>
              <w:noProof/>
              <w:sz w:val="18"/>
            </w:rPr>
            <w:t>1</w:t>
          </w:r>
          <w:r w:rsidR="00290502">
            <w:rPr>
              <w:sz w:val="18"/>
            </w:rPr>
            <w:fldChar w:fldCharType="end"/>
          </w:r>
        </w:p>
      </w:tc>
    </w:tr>
  </w:tbl>
  <w:p w:rsidR="001034B4" w:rsidRDefault="001034B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1034B4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4B4" w:rsidRDefault="00B658F1">
          <w:pPr>
            <w:jc w:val="left"/>
            <w:rPr>
              <w:sz w:val="18"/>
            </w:rPr>
          </w:pPr>
          <w:r>
            <w:rPr>
              <w:sz w:val="18"/>
            </w:rPr>
            <w:t>Id: BAA1E454-F293-473E-81A5-B7BCB8670902.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034B4" w:rsidRDefault="00B658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9050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0502">
            <w:rPr>
              <w:sz w:val="18"/>
            </w:rPr>
            <w:fldChar w:fldCharType="separate"/>
          </w:r>
          <w:r w:rsidR="00580868">
            <w:rPr>
              <w:noProof/>
              <w:sz w:val="18"/>
            </w:rPr>
            <w:t>3</w:t>
          </w:r>
          <w:r w:rsidR="00290502">
            <w:rPr>
              <w:sz w:val="18"/>
            </w:rPr>
            <w:fldChar w:fldCharType="end"/>
          </w:r>
        </w:p>
      </w:tc>
    </w:tr>
  </w:tbl>
  <w:p w:rsidR="001034B4" w:rsidRDefault="001034B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B7" w:rsidRDefault="007457B7" w:rsidP="001034B4">
      <w:r>
        <w:separator/>
      </w:r>
    </w:p>
  </w:footnote>
  <w:footnote w:type="continuationSeparator" w:id="0">
    <w:p w:rsidR="007457B7" w:rsidRDefault="007457B7" w:rsidP="00103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90186C3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F229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64BD88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9BD0E87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B812FD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902A7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AC6C15D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A1C69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9C1FA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34B4"/>
    <w:rsid w:val="00290502"/>
    <w:rsid w:val="00403E01"/>
    <w:rsid w:val="00580868"/>
    <w:rsid w:val="007457B7"/>
    <w:rsid w:val="00A77B3E"/>
    <w:rsid w:val="00B658F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34B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UyteHipercze">
    <w:name w:val="FollowedHyperlink"/>
    <w:basedOn w:val="Domylnaczcionkaakapitu"/>
    <w:rsid w:val="00403E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V%20sesj&#281;%20RM%20-%2031.07.2024%20r\2%20wysy&#322;ka_1%20tydzie&#324;%20przed%20sesj&#261;%20-%20komplety%20projekt&#243;w%20uchwa&#322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V%20sesj&#281;%20RM%20-%2031.07.2024%20r\2%20wysy&#322;ka_1%20tydzie&#324;%20przed%20sesj&#261;%20-%20komplety%20projekt&#243;w%20uchwa&#322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2</cp:revision>
  <dcterms:created xsi:type="dcterms:W3CDTF">2024-07-30T09:32:00Z</dcterms:created>
  <dcterms:modified xsi:type="dcterms:W3CDTF">2024-07-30T09:32:00Z</dcterms:modified>
  <cp:category>Akt prawny</cp:category>
</cp:coreProperties>
</file>